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26A" w:rsidRDefault="0042626A" w:rsidP="00D23323">
      <w:pPr>
        <w:jc w:val="center"/>
        <w:rPr>
          <w:rFonts w:ascii="Rockwell Extra Bold" w:hAnsi="Rockwell Extra Bold"/>
          <w:sz w:val="36"/>
        </w:rPr>
      </w:pPr>
    </w:p>
    <w:p w:rsidR="00D23323" w:rsidRPr="00A3414E" w:rsidRDefault="00D23323" w:rsidP="00D23323">
      <w:pPr>
        <w:jc w:val="center"/>
        <w:rPr>
          <w:rFonts w:ascii="Rockwell Extra Bold" w:hAnsi="Rockwell Extra Bold"/>
          <w:sz w:val="36"/>
        </w:rPr>
      </w:pPr>
      <w:r w:rsidRPr="00A3414E">
        <w:rPr>
          <w:rFonts w:ascii="Rockwell Extra Bold" w:hAnsi="Rockwell Extra Bold"/>
          <w:b/>
          <w:noProof/>
          <w:sz w:val="36"/>
          <w:lang w:val="en-US" w:eastAsia="en-US"/>
        </w:rPr>
        <w:drawing>
          <wp:inline distT="0" distB="0" distL="0" distR="0">
            <wp:extent cx="5254625" cy="1064895"/>
            <wp:effectExtent l="0" t="0" r="3175" b="1905"/>
            <wp:docPr id="1" name="Picture 1" descr="law_dem_final_white_word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_dem_final_white_words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4625" cy="1064895"/>
                    </a:xfrm>
                    <a:prstGeom prst="rect">
                      <a:avLst/>
                    </a:prstGeom>
                    <a:noFill/>
                    <a:ln>
                      <a:noFill/>
                    </a:ln>
                  </pic:spPr>
                </pic:pic>
              </a:graphicData>
            </a:graphic>
          </wp:inline>
        </w:drawing>
      </w:r>
    </w:p>
    <w:p w:rsidR="00D23323" w:rsidRPr="00A3414E" w:rsidRDefault="00D23323" w:rsidP="00D23323">
      <w:pPr>
        <w:jc w:val="both"/>
        <w:rPr>
          <w:rFonts w:ascii="Franklin Gothic Medium" w:hAnsi="Franklin Gothic Medium"/>
          <w:b/>
          <w:sz w:val="52"/>
        </w:rPr>
      </w:pPr>
    </w:p>
    <w:p w:rsidR="00D23323" w:rsidRPr="007A21F9" w:rsidRDefault="00D23323" w:rsidP="00D23323">
      <w:pPr>
        <w:jc w:val="center"/>
        <w:rPr>
          <w:rFonts w:ascii="Franklin Gothic Medium" w:eastAsia="Times New Roman" w:hAnsi="Franklin Gothic Medium"/>
          <w:b/>
          <w:sz w:val="38"/>
          <w:szCs w:val="20"/>
          <w:lang w:eastAsia="en-US"/>
        </w:rPr>
      </w:pPr>
      <w:r w:rsidRPr="007A21F9">
        <w:rPr>
          <w:rFonts w:ascii="Franklin Gothic Medium" w:eastAsia="Times New Roman" w:hAnsi="Franklin Gothic Medium"/>
          <w:b/>
          <w:sz w:val="38"/>
          <w:szCs w:val="20"/>
          <w:lang w:eastAsia="en-US"/>
        </w:rPr>
        <w:t>Canada: Note on Bill C-58 Amending the Access to Information Act</w:t>
      </w:r>
      <w:r w:rsidR="00B612CE" w:rsidRPr="008E5367">
        <w:rPr>
          <w:rStyle w:val="FootnoteReference1"/>
          <w:rFonts w:ascii="Franklin Gothic Medium" w:hAnsi="Franklin Gothic Medium"/>
          <w:sz w:val="38"/>
        </w:rPr>
        <w:footnoteReference w:id="1"/>
      </w:r>
    </w:p>
    <w:p w:rsidR="00D23323" w:rsidRPr="00A3414E" w:rsidRDefault="00D23323" w:rsidP="00D23323">
      <w:pPr>
        <w:jc w:val="both"/>
        <w:rPr>
          <w:rFonts w:asciiTheme="minorHAnsi" w:hAnsiTheme="minorHAnsi"/>
        </w:rPr>
      </w:pPr>
    </w:p>
    <w:p w:rsidR="00D23323" w:rsidRPr="007A21F9" w:rsidRDefault="007A21F9" w:rsidP="00D23323">
      <w:pPr>
        <w:jc w:val="center"/>
        <w:rPr>
          <w:rFonts w:ascii="Arial" w:hAnsi="Arial"/>
          <w:sz w:val="28"/>
        </w:rPr>
      </w:pPr>
      <w:r w:rsidRPr="007A21F9">
        <w:rPr>
          <w:rFonts w:ascii="Arial" w:hAnsi="Arial"/>
          <w:b/>
          <w:noProof/>
          <w:sz w:val="28"/>
        </w:rPr>
        <w:t>February</w:t>
      </w:r>
      <w:r w:rsidR="00D23323" w:rsidRPr="007A21F9">
        <w:rPr>
          <w:rFonts w:ascii="Arial" w:hAnsi="Arial"/>
          <w:b/>
          <w:noProof/>
          <w:sz w:val="28"/>
        </w:rPr>
        <w:t xml:space="preserve"> 2018</w:t>
      </w:r>
    </w:p>
    <w:p w:rsidR="00D23323" w:rsidRPr="00A3414E" w:rsidRDefault="00D23323" w:rsidP="00D23323">
      <w:pPr>
        <w:jc w:val="both"/>
        <w:rPr>
          <w:rFonts w:asciiTheme="minorHAnsi" w:hAnsiTheme="minorHAnsi"/>
        </w:rPr>
      </w:pPr>
    </w:p>
    <w:p w:rsidR="00D23323" w:rsidRPr="007A21F9" w:rsidRDefault="00D23323" w:rsidP="00D23323">
      <w:pPr>
        <w:jc w:val="center"/>
        <w:rPr>
          <w:b/>
          <w:noProof/>
        </w:rPr>
      </w:pPr>
      <w:r w:rsidRPr="007A21F9">
        <w:rPr>
          <w:b/>
          <w:noProof/>
        </w:rPr>
        <w:t>Centre for Law and Democracy</w:t>
      </w:r>
    </w:p>
    <w:p w:rsidR="00D23323" w:rsidRPr="007A21F9" w:rsidRDefault="002A5B1E" w:rsidP="00D23323">
      <w:pPr>
        <w:jc w:val="center"/>
        <w:rPr>
          <w:b/>
          <w:noProof/>
        </w:rPr>
      </w:pPr>
      <w:hyperlink r:id="rId9" w:history="1">
        <w:r w:rsidR="00D23323" w:rsidRPr="007A21F9">
          <w:rPr>
            <w:b/>
          </w:rPr>
          <w:t>info@law-democracy.org</w:t>
        </w:r>
      </w:hyperlink>
    </w:p>
    <w:p w:rsidR="00D23323" w:rsidRPr="007A21F9" w:rsidRDefault="00D23323" w:rsidP="00D23323">
      <w:pPr>
        <w:jc w:val="center"/>
        <w:rPr>
          <w:b/>
          <w:noProof/>
        </w:rPr>
      </w:pPr>
      <w:r w:rsidRPr="007A21F9">
        <w:rPr>
          <w:b/>
          <w:noProof/>
        </w:rPr>
        <w:t>+1 902 431-3688</w:t>
      </w:r>
    </w:p>
    <w:p w:rsidR="00D23323" w:rsidRPr="007A21F9" w:rsidRDefault="002A5B1E" w:rsidP="00D23323">
      <w:pPr>
        <w:jc w:val="center"/>
        <w:rPr>
          <w:b/>
          <w:noProof/>
        </w:rPr>
      </w:pPr>
      <w:hyperlink r:id="rId10" w:history="1">
        <w:r w:rsidR="00D23323" w:rsidRPr="007A21F9">
          <w:rPr>
            <w:b/>
          </w:rPr>
          <w:t>www.law-democracy.org</w:t>
        </w:r>
      </w:hyperlink>
    </w:p>
    <w:p w:rsidR="00DC114C" w:rsidRPr="00A3414E" w:rsidRDefault="00DC114C"/>
    <w:p w:rsidR="00DA7CFC" w:rsidRPr="007A21F9" w:rsidRDefault="00DA7CFC" w:rsidP="007A21F9">
      <w:pPr>
        <w:pStyle w:val="Heading1"/>
        <w:rPr>
          <w:rFonts w:asciiTheme="minorHAnsi" w:hAnsiTheme="minorHAnsi"/>
          <w:sz w:val="28"/>
        </w:rPr>
      </w:pPr>
      <w:r w:rsidRPr="007A21F9">
        <w:rPr>
          <w:rFonts w:asciiTheme="minorHAnsi" w:hAnsiTheme="minorHAnsi"/>
          <w:sz w:val="28"/>
        </w:rPr>
        <w:t>Introduction</w:t>
      </w:r>
    </w:p>
    <w:p w:rsidR="00504253" w:rsidRPr="002A0613" w:rsidRDefault="007F59C2" w:rsidP="00A3414E">
      <w:pPr>
        <w:jc w:val="both"/>
        <w:rPr>
          <w:rFonts w:ascii="Cambria" w:hAnsi="Cambria"/>
        </w:rPr>
      </w:pPr>
      <w:r w:rsidRPr="002A0613">
        <w:rPr>
          <w:rFonts w:ascii="Cambria" w:hAnsi="Cambria"/>
        </w:rPr>
        <w:t xml:space="preserve">For </w:t>
      </w:r>
      <w:r w:rsidR="008E5367">
        <w:rPr>
          <w:rFonts w:ascii="Cambria" w:hAnsi="Cambria"/>
        </w:rPr>
        <w:t xml:space="preserve">many </w:t>
      </w:r>
      <w:r w:rsidRPr="002A0613">
        <w:rPr>
          <w:rFonts w:ascii="Cambria" w:hAnsi="Cambria"/>
        </w:rPr>
        <w:t>years, the Centre for Law and Democracy (CLD)</w:t>
      </w:r>
      <w:r w:rsidR="00FC390D" w:rsidRPr="002A0613">
        <w:rPr>
          <w:rFonts w:ascii="Cambria" w:hAnsi="Cambria"/>
        </w:rPr>
        <w:t>,</w:t>
      </w:r>
      <w:r w:rsidRPr="002A0613">
        <w:rPr>
          <w:rFonts w:ascii="Cambria" w:hAnsi="Cambria"/>
        </w:rPr>
        <w:t xml:space="preserve"> along with other stakeholders across Canada</w:t>
      </w:r>
      <w:r w:rsidR="00FC390D" w:rsidRPr="002A0613">
        <w:rPr>
          <w:rFonts w:ascii="Cambria" w:hAnsi="Cambria"/>
        </w:rPr>
        <w:t>,</w:t>
      </w:r>
      <w:r w:rsidR="008E5367">
        <w:rPr>
          <w:rFonts w:ascii="Cambria" w:hAnsi="Cambria"/>
        </w:rPr>
        <w:t xml:space="preserve"> has</w:t>
      </w:r>
      <w:r w:rsidRPr="002A0613">
        <w:rPr>
          <w:rFonts w:ascii="Cambria" w:hAnsi="Cambria"/>
        </w:rPr>
        <w:t xml:space="preserve"> </w:t>
      </w:r>
      <w:r w:rsidR="008E5367">
        <w:rPr>
          <w:rFonts w:ascii="Cambria" w:hAnsi="Cambria"/>
        </w:rPr>
        <w:t>been calling for</w:t>
      </w:r>
      <w:r w:rsidRPr="002A0613">
        <w:rPr>
          <w:rFonts w:ascii="Cambria" w:hAnsi="Cambria"/>
        </w:rPr>
        <w:t xml:space="preserve"> </w:t>
      </w:r>
      <w:r w:rsidR="003B7B6B">
        <w:rPr>
          <w:rFonts w:ascii="Cambria" w:hAnsi="Cambria"/>
        </w:rPr>
        <w:t>major</w:t>
      </w:r>
      <w:r w:rsidR="003E7185">
        <w:rPr>
          <w:rFonts w:ascii="Cambria" w:hAnsi="Cambria"/>
        </w:rPr>
        <w:t xml:space="preserve"> </w:t>
      </w:r>
      <w:r w:rsidRPr="002A0613">
        <w:rPr>
          <w:rFonts w:ascii="Cambria" w:hAnsi="Cambria"/>
        </w:rPr>
        <w:t>reform</w:t>
      </w:r>
      <w:r w:rsidR="003B7B6B">
        <w:rPr>
          <w:rFonts w:ascii="Cambria" w:hAnsi="Cambria"/>
        </w:rPr>
        <w:t>s</w:t>
      </w:r>
      <w:r w:rsidRPr="002A0613">
        <w:rPr>
          <w:rFonts w:ascii="Cambria" w:hAnsi="Cambria"/>
        </w:rPr>
        <w:t xml:space="preserve"> </w:t>
      </w:r>
      <w:r w:rsidR="003B7B6B">
        <w:rPr>
          <w:rFonts w:ascii="Cambria" w:hAnsi="Cambria"/>
        </w:rPr>
        <w:t xml:space="preserve">to </w:t>
      </w:r>
      <w:r w:rsidRPr="002A0613">
        <w:rPr>
          <w:rFonts w:ascii="Cambria" w:hAnsi="Cambria"/>
        </w:rPr>
        <w:t>the federa</w:t>
      </w:r>
      <w:r w:rsidR="004657B1" w:rsidRPr="002A0613">
        <w:rPr>
          <w:rFonts w:ascii="Cambria" w:hAnsi="Cambria"/>
        </w:rPr>
        <w:t>l Access to Information Act (ATIA</w:t>
      </w:r>
      <w:r w:rsidRPr="002A0613">
        <w:rPr>
          <w:rFonts w:ascii="Cambria" w:hAnsi="Cambria"/>
        </w:rPr>
        <w:t>).</w:t>
      </w:r>
      <w:r w:rsidR="00233ED3" w:rsidRPr="002A0613">
        <w:rPr>
          <w:rStyle w:val="FootnoteReference"/>
          <w:rFonts w:ascii="Cambria" w:hAnsi="Cambria"/>
        </w:rPr>
        <w:footnoteReference w:id="2"/>
      </w:r>
      <w:r w:rsidR="00B960D4" w:rsidRPr="002A0613">
        <w:rPr>
          <w:rFonts w:ascii="Cambria" w:hAnsi="Cambria"/>
        </w:rPr>
        <w:t xml:space="preserve"> </w:t>
      </w:r>
      <w:r w:rsidR="00DF29E6" w:rsidRPr="002A0613">
        <w:rPr>
          <w:rFonts w:ascii="Cambria" w:hAnsi="Cambria"/>
        </w:rPr>
        <w:t>In 2013, CLD wrote</w:t>
      </w:r>
      <w:r w:rsidR="008E5367">
        <w:rPr>
          <w:rFonts w:ascii="Cambria" w:hAnsi="Cambria"/>
        </w:rPr>
        <w:t>,</w:t>
      </w:r>
      <w:r w:rsidR="00DF29E6" w:rsidRPr="002A0613">
        <w:rPr>
          <w:rFonts w:ascii="Cambria" w:hAnsi="Cambria"/>
        </w:rPr>
        <w:t xml:space="preserve"> in </w:t>
      </w:r>
      <w:r w:rsidR="00DF29E6" w:rsidRPr="002A0613">
        <w:rPr>
          <w:rFonts w:ascii="Cambria" w:hAnsi="Cambria"/>
          <w:i/>
        </w:rPr>
        <w:t>Canada: Response to the OIC Call for Dialogue: Recommendations for Improving the Right to Information in Canada</w:t>
      </w:r>
      <w:r w:rsidR="008E5367">
        <w:rPr>
          <w:rFonts w:ascii="Cambria" w:hAnsi="Cambria"/>
        </w:rPr>
        <w:t>,</w:t>
      </w:r>
      <w:r w:rsidR="00DF29E6" w:rsidRPr="008E5367">
        <w:rPr>
          <w:rFonts w:ascii="Cambria" w:hAnsi="Cambria"/>
          <w:vertAlign w:val="superscript"/>
        </w:rPr>
        <w:footnoteReference w:id="3"/>
      </w:r>
      <w:r w:rsidR="00DF29E6" w:rsidRPr="002A0613">
        <w:rPr>
          <w:rFonts w:ascii="Cambria" w:hAnsi="Cambria"/>
        </w:rPr>
        <w:t xml:space="preserve"> about the shortcomings of Canada’s </w:t>
      </w:r>
      <w:r w:rsidR="00E51F2F" w:rsidRPr="002A0613">
        <w:rPr>
          <w:rFonts w:ascii="Cambria" w:hAnsi="Cambria"/>
        </w:rPr>
        <w:t xml:space="preserve">legal framework </w:t>
      </w:r>
      <w:r w:rsidR="00E51F2F">
        <w:rPr>
          <w:rFonts w:ascii="Cambria" w:hAnsi="Cambria"/>
        </w:rPr>
        <w:t xml:space="preserve">for </w:t>
      </w:r>
      <w:r w:rsidR="00DF29E6" w:rsidRPr="002A0613">
        <w:rPr>
          <w:rFonts w:ascii="Cambria" w:hAnsi="Cambria"/>
        </w:rPr>
        <w:t xml:space="preserve">access to information (ATI). </w:t>
      </w:r>
      <w:r w:rsidR="00E51F2F">
        <w:rPr>
          <w:rFonts w:ascii="Cambria" w:hAnsi="Cambria"/>
        </w:rPr>
        <w:t xml:space="preserve">The most notable problems we identified at that time were </w:t>
      </w:r>
      <w:r w:rsidR="00DF29E6" w:rsidRPr="002A0613">
        <w:rPr>
          <w:rFonts w:ascii="Cambria" w:hAnsi="Cambria"/>
        </w:rPr>
        <w:t xml:space="preserve">Canada’s approach toward exceptions to </w:t>
      </w:r>
      <w:r w:rsidR="00DF29E6" w:rsidRPr="002A0613">
        <w:rPr>
          <w:rFonts w:ascii="Cambria" w:hAnsi="Cambria"/>
        </w:rPr>
        <w:lastRenderedPageBreak/>
        <w:t>disclosure</w:t>
      </w:r>
      <w:r w:rsidR="00E51F2F">
        <w:rPr>
          <w:rFonts w:ascii="Cambria" w:hAnsi="Cambria"/>
        </w:rPr>
        <w:t>,</w:t>
      </w:r>
      <w:r w:rsidR="00DF29E6" w:rsidRPr="002A0613">
        <w:rPr>
          <w:rFonts w:ascii="Cambria" w:hAnsi="Cambria"/>
        </w:rPr>
        <w:t xml:space="preserve"> which </w:t>
      </w:r>
      <w:r w:rsidR="00E51F2F">
        <w:rPr>
          <w:rFonts w:ascii="Cambria" w:hAnsi="Cambria"/>
        </w:rPr>
        <w:t xml:space="preserve">was </w:t>
      </w:r>
      <w:r w:rsidR="00DF29E6" w:rsidRPr="002A0613">
        <w:rPr>
          <w:rFonts w:ascii="Cambria" w:hAnsi="Cambria"/>
        </w:rPr>
        <w:t xml:space="preserve">significantly </w:t>
      </w:r>
      <w:r w:rsidR="00E51F2F">
        <w:rPr>
          <w:rFonts w:ascii="Cambria" w:hAnsi="Cambria"/>
        </w:rPr>
        <w:t xml:space="preserve">overbroad and </w:t>
      </w:r>
      <w:r w:rsidR="00DF29E6" w:rsidRPr="002A0613">
        <w:rPr>
          <w:rFonts w:ascii="Cambria" w:hAnsi="Cambria"/>
        </w:rPr>
        <w:t xml:space="preserve">deviated from </w:t>
      </w:r>
      <w:proofErr w:type="gramStart"/>
      <w:r w:rsidR="00E51F2F">
        <w:rPr>
          <w:rFonts w:ascii="Cambria" w:hAnsi="Cambria"/>
        </w:rPr>
        <w:t xml:space="preserve">a </w:t>
      </w:r>
      <w:r w:rsidR="00FC390D" w:rsidRPr="002A0613">
        <w:rPr>
          <w:rFonts w:ascii="Cambria" w:hAnsi="Cambria"/>
        </w:rPr>
        <w:t>human rights</w:t>
      </w:r>
      <w:proofErr w:type="gramEnd"/>
      <w:r w:rsidR="00DF29E6" w:rsidRPr="002A0613">
        <w:rPr>
          <w:rFonts w:ascii="Cambria" w:hAnsi="Cambria"/>
        </w:rPr>
        <w:t xml:space="preserve"> based approach</w:t>
      </w:r>
      <w:r w:rsidR="005248F1" w:rsidRPr="002A0613">
        <w:rPr>
          <w:rFonts w:ascii="Cambria" w:hAnsi="Cambria"/>
        </w:rPr>
        <w:t xml:space="preserve">, </w:t>
      </w:r>
      <w:r w:rsidR="000E422E">
        <w:rPr>
          <w:rFonts w:ascii="Cambria" w:hAnsi="Cambria"/>
        </w:rPr>
        <w:t xml:space="preserve">the </w:t>
      </w:r>
      <w:r w:rsidR="00DF29E6" w:rsidRPr="002A0613">
        <w:rPr>
          <w:rFonts w:ascii="Cambria" w:hAnsi="Cambria"/>
        </w:rPr>
        <w:t>problematically narrow scope</w:t>
      </w:r>
      <w:r w:rsidR="000E422E">
        <w:rPr>
          <w:rFonts w:ascii="Cambria" w:hAnsi="Cambria"/>
        </w:rPr>
        <w:t xml:space="preserve"> of application of the Act</w:t>
      </w:r>
      <w:r w:rsidR="00504253" w:rsidRPr="002A0613">
        <w:rPr>
          <w:rFonts w:ascii="Cambria" w:hAnsi="Cambria"/>
        </w:rPr>
        <w:t xml:space="preserve">, </w:t>
      </w:r>
      <w:r w:rsidR="005248F1" w:rsidRPr="002A0613">
        <w:rPr>
          <w:rFonts w:ascii="Cambria" w:hAnsi="Cambria"/>
        </w:rPr>
        <w:t>the</w:t>
      </w:r>
      <w:r w:rsidR="00504253" w:rsidRPr="002A0613">
        <w:rPr>
          <w:rFonts w:ascii="Cambria" w:hAnsi="Cambria"/>
        </w:rPr>
        <w:t xml:space="preserve"> </w:t>
      </w:r>
      <w:r w:rsidR="00E868D0">
        <w:rPr>
          <w:rFonts w:ascii="Cambria" w:hAnsi="Cambria"/>
        </w:rPr>
        <w:t>lack of proper control over the power to extend the time limit for responding to requests</w:t>
      </w:r>
      <w:r w:rsidR="000E422E">
        <w:rPr>
          <w:rFonts w:ascii="Cambria" w:hAnsi="Cambria"/>
        </w:rPr>
        <w:t xml:space="preserve"> </w:t>
      </w:r>
      <w:r w:rsidR="00E868D0">
        <w:rPr>
          <w:rFonts w:ascii="Cambria" w:hAnsi="Cambria"/>
        </w:rPr>
        <w:t>for information</w:t>
      </w:r>
      <w:r w:rsidR="000E422E">
        <w:rPr>
          <w:rFonts w:ascii="Cambria" w:hAnsi="Cambria"/>
        </w:rPr>
        <w:t>,</w:t>
      </w:r>
      <w:r w:rsidR="00504253" w:rsidRPr="002A0613">
        <w:rPr>
          <w:rFonts w:ascii="Cambria" w:hAnsi="Cambria"/>
        </w:rPr>
        <w:t xml:space="preserve"> and </w:t>
      </w:r>
      <w:r w:rsidR="005248F1" w:rsidRPr="002A0613">
        <w:rPr>
          <w:rFonts w:ascii="Cambria" w:hAnsi="Cambria"/>
        </w:rPr>
        <w:t xml:space="preserve">the Information Commissioner’s lack of </w:t>
      </w:r>
      <w:r w:rsidR="00504253" w:rsidRPr="002A0613">
        <w:rPr>
          <w:rFonts w:ascii="Cambria" w:hAnsi="Cambria"/>
        </w:rPr>
        <w:t>order</w:t>
      </w:r>
      <w:r w:rsidR="003E7185">
        <w:rPr>
          <w:rFonts w:ascii="Cambria" w:hAnsi="Cambria"/>
        </w:rPr>
        <w:t xml:space="preserve"> making power.</w:t>
      </w:r>
    </w:p>
    <w:p w:rsidR="00504253" w:rsidRPr="002A0613" w:rsidRDefault="00504253" w:rsidP="00A3414E">
      <w:pPr>
        <w:jc w:val="both"/>
        <w:rPr>
          <w:rFonts w:ascii="Cambria" w:hAnsi="Cambria"/>
        </w:rPr>
      </w:pPr>
    </w:p>
    <w:p w:rsidR="00DF29E6" w:rsidRPr="002A0613" w:rsidRDefault="00E868D0" w:rsidP="00A3414E">
      <w:pPr>
        <w:jc w:val="both"/>
        <w:rPr>
          <w:rFonts w:ascii="Cambria" w:hAnsi="Cambria"/>
        </w:rPr>
      </w:pPr>
      <w:r>
        <w:rPr>
          <w:rFonts w:ascii="Cambria" w:hAnsi="Cambria"/>
        </w:rPr>
        <w:t>These problems are also reflected in the way the ATIA is applied</w:t>
      </w:r>
      <w:r w:rsidR="00B61654">
        <w:rPr>
          <w:rFonts w:ascii="Cambria" w:hAnsi="Cambria"/>
        </w:rPr>
        <w:t xml:space="preserve"> in practice</w:t>
      </w:r>
      <w:r w:rsidR="00504253" w:rsidRPr="002A0613">
        <w:rPr>
          <w:rFonts w:ascii="Cambria" w:hAnsi="Cambria"/>
        </w:rPr>
        <w:t xml:space="preserve">. The 2017 </w:t>
      </w:r>
      <w:r w:rsidR="00504253" w:rsidRPr="002A0613">
        <w:rPr>
          <w:rFonts w:ascii="Cambria" w:hAnsi="Cambria"/>
          <w:i/>
        </w:rPr>
        <w:t>National Freedom of Information Audit</w:t>
      </w:r>
      <w:r w:rsidR="00504253" w:rsidRPr="002A0613">
        <w:rPr>
          <w:rFonts w:ascii="Cambria" w:hAnsi="Cambria"/>
        </w:rPr>
        <w:t>, an annual review of public authorities’ performance in responding to requests</w:t>
      </w:r>
      <w:r>
        <w:rPr>
          <w:rFonts w:ascii="Cambria" w:hAnsi="Cambria"/>
        </w:rPr>
        <w:t xml:space="preserve"> for information</w:t>
      </w:r>
      <w:r w:rsidR="00504253" w:rsidRPr="002A0613">
        <w:rPr>
          <w:rFonts w:ascii="Cambria" w:hAnsi="Cambria"/>
        </w:rPr>
        <w:t xml:space="preserve">, assigned the federal government an F grade on the completeness of its disclosures and found that just a quarter of requests sent to federal government departments, agencies and crown corporations were answered within the </w:t>
      </w:r>
      <w:r w:rsidR="00B61654">
        <w:rPr>
          <w:rFonts w:ascii="Cambria" w:hAnsi="Cambria"/>
        </w:rPr>
        <w:t xml:space="preserve">initial </w:t>
      </w:r>
      <w:r w:rsidR="00504253" w:rsidRPr="002A0613">
        <w:rPr>
          <w:rFonts w:ascii="Cambria" w:hAnsi="Cambria"/>
        </w:rPr>
        <w:t>30-day time limit.</w:t>
      </w:r>
      <w:r w:rsidR="00504253" w:rsidRPr="002A0613">
        <w:rPr>
          <w:rFonts w:ascii="Cambria" w:hAnsi="Cambria"/>
          <w:vertAlign w:val="superscript"/>
        </w:rPr>
        <w:footnoteReference w:id="4"/>
      </w:r>
    </w:p>
    <w:p w:rsidR="00DF29E6" w:rsidRPr="002A0613" w:rsidRDefault="00DF29E6" w:rsidP="00A3414E">
      <w:pPr>
        <w:jc w:val="both"/>
        <w:rPr>
          <w:rFonts w:ascii="Cambria" w:hAnsi="Cambria"/>
        </w:rPr>
      </w:pPr>
    </w:p>
    <w:p w:rsidR="003B7B6B" w:rsidRDefault="00DF29E6" w:rsidP="00A3414E">
      <w:pPr>
        <w:jc w:val="both"/>
        <w:rPr>
          <w:rFonts w:ascii="Cambria" w:hAnsi="Cambria"/>
        </w:rPr>
      </w:pPr>
      <w:r w:rsidRPr="002A0613">
        <w:rPr>
          <w:rFonts w:ascii="Cambria" w:hAnsi="Cambria"/>
        </w:rPr>
        <w:t>I</w:t>
      </w:r>
      <w:r w:rsidR="00B960D4" w:rsidRPr="002A0613">
        <w:rPr>
          <w:rFonts w:ascii="Cambria" w:hAnsi="Cambria"/>
        </w:rPr>
        <w:t xml:space="preserve">n the fall of 2015, </w:t>
      </w:r>
      <w:r w:rsidR="005870AD">
        <w:rPr>
          <w:rFonts w:ascii="Cambria" w:hAnsi="Cambria"/>
        </w:rPr>
        <w:t xml:space="preserve">during the federal election campaign, </w:t>
      </w:r>
      <w:r w:rsidR="00B960D4" w:rsidRPr="002A0613">
        <w:rPr>
          <w:rFonts w:ascii="Cambria" w:hAnsi="Cambria"/>
        </w:rPr>
        <w:t xml:space="preserve">the Liberal Party </w:t>
      </w:r>
      <w:r w:rsidR="005870AD">
        <w:rPr>
          <w:rFonts w:ascii="Cambria" w:hAnsi="Cambria"/>
        </w:rPr>
        <w:t xml:space="preserve">made </w:t>
      </w:r>
      <w:r w:rsidR="009D5566" w:rsidRPr="002A0613">
        <w:rPr>
          <w:rFonts w:ascii="Cambria" w:hAnsi="Cambria"/>
        </w:rPr>
        <w:t>a number of</w:t>
      </w:r>
      <w:r w:rsidR="005248F1" w:rsidRPr="002A0613">
        <w:rPr>
          <w:rFonts w:ascii="Cambria" w:hAnsi="Cambria"/>
        </w:rPr>
        <w:t xml:space="preserve"> bold</w:t>
      </w:r>
      <w:r w:rsidR="00B960D4" w:rsidRPr="002A0613">
        <w:rPr>
          <w:rFonts w:ascii="Cambria" w:hAnsi="Cambria"/>
        </w:rPr>
        <w:t xml:space="preserve"> promise</w:t>
      </w:r>
      <w:r w:rsidR="009D5566" w:rsidRPr="002A0613">
        <w:rPr>
          <w:rFonts w:ascii="Cambria" w:hAnsi="Cambria"/>
        </w:rPr>
        <w:t>s</w:t>
      </w:r>
      <w:r w:rsidR="00B960D4" w:rsidRPr="002A0613">
        <w:rPr>
          <w:rFonts w:ascii="Cambria" w:hAnsi="Cambria"/>
        </w:rPr>
        <w:t xml:space="preserve"> to reform the </w:t>
      </w:r>
      <w:r w:rsidR="005870AD">
        <w:rPr>
          <w:rFonts w:ascii="Cambria" w:hAnsi="Cambria"/>
        </w:rPr>
        <w:t>ATIA</w:t>
      </w:r>
      <w:r w:rsidR="00B960D4" w:rsidRPr="002A0613">
        <w:rPr>
          <w:rFonts w:ascii="Cambria" w:hAnsi="Cambria"/>
        </w:rPr>
        <w:t>,</w:t>
      </w:r>
      <w:r w:rsidR="005248F1" w:rsidRPr="002A0613">
        <w:rPr>
          <w:rFonts w:ascii="Cambria" w:hAnsi="Cambria"/>
        </w:rPr>
        <w:t xml:space="preserve"> </w:t>
      </w:r>
      <w:r w:rsidR="009D5566" w:rsidRPr="002A0613">
        <w:rPr>
          <w:rFonts w:ascii="Cambria" w:hAnsi="Cambria"/>
        </w:rPr>
        <w:t xml:space="preserve">including </w:t>
      </w:r>
      <w:r w:rsidR="00B61654">
        <w:rPr>
          <w:rFonts w:ascii="Cambria" w:hAnsi="Cambria"/>
        </w:rPr>
        <w:t xml:space="preserve">by </w:t>
      </w:r>
      <w:r w:rsidR="00504253" w:rsidRPr="002A0613">
        <w:rPr>
          <w:rFonts w:ascii="Cambria" w:hAnsi="Cambria"/>
        </w:rPr>
        <w:t>giving binding order making powers to the Information Commissioner, eli</w:t>
      </w:r>
      <w:r w:rsidR="00B61654">
        <w:rPr>
          <w:rFonts w:ascii="Cambria" w:hAnsi="Cambria"/>
        </w:rPr>
        <w:t>minating</w:t>
      </w:r>
      <w:r w:rsidR="00504253" w:rsidRPr="002A0613">
        <w:rPr>
          <w:rFonts w:ascii="Cambria" w:hAnsi="Cambria"/>
        </w:rPr>
        <w:t xml:space="preserve"> all fees for</w:t>
      </w:r>
      <w:r w:rsidR="00B61654">
        <w:rPr>
          <w:rFonts w:ascii="Cambria" w:hAnsi="Cambria"/>
        </w:rPr>
        <w:t xml:space="preserve"> responding to requests</w:t>
      </w:r>
      <w:r w:rsidR="00504253" w:rsidRPr="002A0613">
        <w:rPr>
          <w:rFonts w:ascii="Cambria" w:hAnsi="Cambria"/>
        </w:rPr>
        <w:t xml:space="preserve">, </w:t>
      </w:r>
      <w:r w:rsidR="00B61654">
        <w:rPr>
          <w:rFonts w:ascii="Cambria" w:hAnsi="Cambria"/>
        </w:rPr>
        <w:t xml:space="preserve">providing </w:t>
      </w:r>
      <w:r w:rsidR="00504253" w:rsidRPr="002A0613">
        <w:rPr>
          <w:rFonts w:ascii="Cambria" w:hAnsi="Cambria"/>
        </w:rPr>
        <w:t>written responses within 30 days where access was being refused, and extending coverage of the Act to the offices of the Prime Minister and Ministers and the administra</w:t>
      </w:r>
      <w:r w:rsidR="00B61654">
        <w:rPr>
          <w:rFonts w:ascii="Cambria" w:hAnsi="Cambria"/>
        </w:rPr>
        <w:t>tive institutions that support P</w:t>
      </w:r>
      <w:r w:rsidR="00504253" w:rsidRPr="002A0613">
        <w:rPr>
          <w:rFonts w:ascii="Cambria" w:hAnsi="Cambria"/>
        </w:rPr>
        <w:t>arliament and the courts.</w:t>
      </w:r>
      <w:r w:rsidR="00504253" w:rsidRPr="002A0613">
        <w:rPr>
          <w:rFonts w:ascii="Cambria" w:hAnsi="Cambria"/>
          <w:vertAlign w:val="superscript"/>
        </w:rPr>
        <w:footnoteReference w:id="5"/>
      </w:r>
      <w:r w:rsidR="00F05617">
        <w:rPr>
          <w:rFonts w:ascii="Cambria" w:hAnsi="Cambria"/>
        </w:rPr>
        <w:t xml:space="preserve"> </w:t>
      </w:r>
      <w:r w:rsidR="003B7B6B">
        <w:rPr>
          <w:rFonts w:ascii="Cambria" w:hAnsi="Cambria"/>
        </w:rPr>
        <w:t xml:space="preserve">CLD was excited about the possibility of </w:t>
      </w:r>
      <w:r w:rsidR="00B61654">
        <w:rPr>
          <w:rFonts w:ascii="Cambria" w:hAnsi="Cambria"/>
        </w:rPr>
        <w:t xml:space="preserve">real </w:t>
      </w:r>
      <w:r w:rsidR="003B7B6B">
        <w:rPr>
          <w:rFonts w:ascii="Cambria" w:hAnsi="Cambria"/>
        </w:rPr>
        <w:t xml:space="preserve">reform of the ATIA after literally decades of government refusals to do this. </w:t>
      </w:r>
    </w:p>
    <w:p w:rsidR="003B7B6B" w:rsidRDefault="003B7B6B" w:rsidP="00A3414E">
      <w:pPr>
        <w:jc w:val="both"/>
        <w:rPr>
          <w:rFonts w:ascii="Cambria" w:hAnsi="Cambria"/>
        </w:rPr>
      </w:pPr>
    </w:p>
    <w:p w:rsidR="003F0D26" w:rsidRDefault="003B7B6B" w:rsidP="00A3414E">
      <w:pPr>
        <w:jc w:val="both"/>
        <w:rPr>
          <w:rFonts w:ascii="Cambria" w:hAnsi="Cambria"/>
        </w:rPr>
      </w:pPr>
      <w:r>
        <w:rPr>
          <w:rFonts w:ascii="Cambria" w:hAnsi="Cambria"/>
        </w:rPr>
        <w:t>However, an initial problem was that t</w:t>
      </w:r>
      <w:r w:rsidR="006B48E7" w:rsidRPr="002A0613">
        <w:rPr>
          <w:rFonts w:ascii="Cambria" w:hAnsi="Cambria"/>
        </w:rPr>
        <w:t xml:space="preserve">he government proposed </w:t>
      </w:r>
      <w:r w:rsidR="000F70EC" w:rsidRPr="002A0613">
        <w:rPr>
          <w:rFonts w:ascii="Cambria" w:hAnsi="Cambria"/>
        </w:rPr>
        <w:t xml:space="preserve">to </w:t>
      </w:r>
      <w:r w:rsidR="00B61654">
        <w:rPr>
          <w:rFonts w:ascii="Cambria" w:hAnsi="Cambria"/>
        </w:rPr>
        <w:t xml:space="preserve">roll out the </w:t>
      </w:r>
      <w:r w:rsidR="006B48E7" w:rsidRPr="002A0613">
        <w:rPr>
          <w:rFonts w:ascii="Cambria" w:hAnsi="Cambria"/>
        </w:rPr>
        <w:t>reform</w:t>
      </w:r>
      <w:r w:rsidR="00B61654">
        <w:rPr>
          <w:rFonts w:ascii="Cambria" w:hAnsi="Cambria"/>
        </w:rPr>
        <w:t>s</w:t>
      </w:r>
      <w:r w:rsidR="006B48E7" w:rsidRPr="002A0613">
        <w:rPr>
          <w:rFonts w:ascii="Cambria" w:hAnsi="Cambria"/>
        </w:rPr>
        <w:t xml:space="preserve"> in two</w:t>
      </w:r>
      <w:r w:rsidR="009D5566" w:rsidRPr="002A0613">
        <w:rPr>
          <w:rFonts w:ascii="Cambria" w:hAnsi="Cambria"/>
        </w:rPr>
        <w:t xml:space="preserve"> phases</w:t>
      </w:r>
      <w:r w:rsidR="00D3269A" w:rsidRPr="002A0613">
        <w:rPr>
          <w:rFonts w:ascii="Cambria" w:hAnsi="Cambria"/>
        </w:rPr>
        <w:t>,</w:t>
      </w:r>
      <w:r w:rsidR="009D5566" w:rsidRPr="002A0613">
        <w:rPr>
          <w:rFonts w:ascii="Cambria" w:hAnsi="Cambria"/>
        </w:rPr>
        <w:t xml:space="preserve"> the first phase consisting of a </w:t>
      </w:r>
      <w:r w:rsidR="006B48E7" w:rsidRPr="002A0613">
        <w:rPr>
          <w:rFonts w:ascii="Cambria" w:hAnsi="Cambria"/>
        </w:rPr>
        <w:t xml:space="preserve">set of short term measures </w:t>
      </w:r>
      <w:r w:rsidR="009D5566" w:rsidRPr="002A0613">
        <w:rPr>
          <w:rFonts w:ascii="Cambria" w:hAnsi="Cambria"/>
        </w:rPr>
        <w:t>which</w:t>
      </w:r>
      <w:r w:rsidR="006B48E7" w:rsidRPr="002A0613">
        <w:rPr>
          <w:rFonts w:ascii="Cambria" w:hAnsi="Cambria"/>
        </w:rPr>
        <w:t xml:space="preserve"> introduce</w:t>
      </w:r>
      <w:r w:rsidR="009D5566" w:rsidRPr="002A0613">
        <w:rPr>
          <w:rFonts w:ascii="Cambria" w:hAnsi="Cambria"/>
        </w:rPr>
        <w:t>d</w:t>
      </w:r>
      <w:r w:rsidR="006B48E7" w:rsidRPr="002A0613">
        <w:rPr>
          <w:rFonts w:ascii="Cambria" w:hAnsi="Cambria"/>
        </w:rPr>
        <w:t xml:space="preserve"> some qu</w:t>
      </w:r>
      <w:r w:rsidR="009D5566" w:rsidRPr="002A0613">
        <w:rPr>
          <w:rFonts w:ascii="Cambria" w:hAnsi="Cambria"/>
        </w:rPr>
        <w:t xml:space="preserve">ick improvements to the Act, to be followed by </w:t>
      </w:r>
      <w:r w:rsidR="006B48E7" w:rsidRPr="002A0613">
        <w:rPr>
          <w:rFonts w:ascii="Cambria" w:hAnsi="Cambria"/>
        </w:rPr>
        <w:t xml:space="preserve">a full review </w:t>
      </w:r>
      <w:r w:rsidR="009D5566" w:rsidRPr="002A0613">
        <w:rPr>
          <w:rFonts w:ascii="Cambria" w:hAnsi="Cambria"/>
        </w:rPr>
        <w:t>taking</w:t>
      </w:r>
      <w:r w:rsidR="00A9592E" w:rsidRPr="002A0613">
        <w:rPr>
          <w:rFonts w:ascii="Cambria" w:hAnsi="Cambria"/>
        </w:rPr>
        <w:t xml:space="preserve"> </w:t>
      </w:r>
      <w:r w:rsidR="006B48E7" w:rsidRPr="002A0613">
        <w:rPr>
          <w:rFonts w:ascii="Cambria" w:hAnsi="Cambria"/>
        </w:rPr>
        <w:t>place “no later than 2018”.</w:t>
      </w:r>
      <w:r w:rsidR="006B48E7" w:rsidRPr="002A0613">
        <w:rPr>
          <w:rStyle w:val="FootnoteReference"/>
          <w:rFonts w:ascii="Cambria" w:hAnsi="Cambria"/>
        </w:rPr>
        <w:footnoteReference w:id="6"/>
      </w:r>
      <w:r w:rsidR="0097068A" w:rsidRPr="002A0613">
        <w:rPr>
          <w:rFonts w:ascii="Cambria" w:hAnsi="Cambria"/>
        </w:rPr>
        <w:t xml:space="preserve"> CLD critici</w:t>
      </w:r>
      <w:r>
        <w:rPr>
          <w:rFonts w:ascii="Cambria" w:hAnsi="Cambria"/>
        </w:rPr>
        <w:t>s</w:t>
      </w:r>
      <w:r w:rsidR="0097068A" w:rsidRPr="002A0613">
        <w:rPr>
          <w:rFonts w:ascii="Cambria" w:hAnsi="Cambria"/>
        </w:rPr>
        <w:t xml:space="preserve">ed this </w:t>
      </w:r>
      <w:r w:rsidR="00D3269A" w:rsidRPr="002A0613">
        <w:rPr>
          <w:rFonts w:ascii="Cambria" w:hAnsi="Cambria"/>
        </w:rPr>
        <w:t xml:space="preserve">as inefficient </w:t>
      </w:r>
      <w:r w:rsidR="00B61654">
        <w:rPr>
          <w:rFonts w:ascii="Cambria" w:hAnsi="Cambria"/>
        </w:rPr>
        <w:t>noting</w:t>
      </w:r>
      <w:r w:rsidR="00D3269A" w:rsidRPr="002A0613">
        <w:rPr>
          <w:rFonts w:ascii="Cambria" w:hAnsi="Cambria"/>
        </w:rPr>
        <w:t xml:space="preserve"> that it would place </w:t>
      </w:r>
      <w:r w:rsidR="004C1467" w:rsidRPr="002A0613">
        <w:rPr>
          <w:rFonts w:ascii="Cambria" w:hAnsi="Cambria"/>
        </w:rPr>
        <w:t>unnecessary change managemen</w:t>
      </w:r>
      <w:r w:rsidR="00BF5FF8" w:rsidRPr="002A0613">
        <w:rPr>
          <w:rFonts w:ascii="Cambria" w:hAnsi="Cambria"/>
        </w:rPr>
        <w:t>t</w:t>
      </w:r>
      <w:r w:rsidR="00B509D2" w:rsidRPr="002A0613">
        <w:rPr>
          <w:rFonts w:ascii="Cambria" w:hAnsi="Cambria"/>
        </w:rPr>
        <w:t xml:space="preserve"> </w:t>
      </w:r>
      <w:r w:rsidR="00BF5FF8" w:rsidRPr="002A0613">
        <w:rPr>
          <w:rFonts w:ascii="Cambria" w:hAnsi="Cambria"/>
        </w:rPr>
        <w:t>pressure</w:t>
      </w:r>
      <w:r w:rsidR="004C1467" w:rsidRPr="002A0613">
        <w:rPr>
          <w:rFonts w:ascii="Cambria" w:hAnsi="Cambria"/>
        </w:rPr>
        <w:t>s</w:t>
      </w:r>
      <w:r w:rsidR="00BF5FF8" w:rsidRPr="002A0613">
        <w:rPr>
          <w:rFonts w:ascii="Cambria" w:hAnsi="Cambria"/>
        </w:rPr>
        <w:t xml:space="preserve"> on the civil service, and create </w:t>
      </w:r>
      <w:r>
        <w:rPr>
          <w:rFonts w:ascii="Cambria" w:hAnsi="Cambria"/>
        </w:rPr>
        <w:t xml:space="preserve">an unnecessary burden on </w:t>
      </w:r>
      <w:r w:rsidR="00B464A4">
        <w:rPr>
          <w:rFonts w:ascii="Cambria" w:hAnsi="Cambria"/>
        </w:rPr>
        <w:t xml:space="preserve">civil society and </w:t>
      </w:r>
      <w:r w:rsidR="00BF5FF8" w:rsidRPr="002A0613">
        <w:rPr>
          <w:rFonts w:ascii="Cambria" w:hAnsi="Cambria"/>
        </w:rPr>
        <w:t xml:space="preserve">citizens </w:t>
      </w:r>
      <w:r w:rsidR="00B464A4">
        <w:rPr>
          <w:rFonts w:ascii="Cambria" w:hAnsi="Cambria"/>
        </w:rPr>
        <w:t xml:space="preserve">who wished to engage in the reform process </w:t>
      </w:r>
      <w:r w:rsidR="00BF5FF8" w:rsidRPr="002A0613">
        <w:rPr>
          <w:rFonts w:ascii="Cambria" w:hAnsi="Cambria"/>
        </w:rPr>
        <w:t xml:space="preserve">by </w:t>
      </w:r>
      <w:r w:rsidR="00B61654">
        <w:rPr>
          <w:rFonts w:ascii="Cambria" w:hAnsi="Cambria"/>
        </w:rPr>
        <w:t xml:space="preserve">sending </w:t>
      </w:r>
      <w:r w:rsidR="00BF5FF8" w:rsidRPr="002A0613">
        <w:rPr>
          <w:rFonts w:ascii="Cambria" w:hAnsi="Cambria"/>
        </w:rPr>
        <w:t>two sets of</w:t>
      </w:r>
      <w:r w:rsidR="00B509D2" w:rsidRPr="002A0613">
        <w:rPr>
          <w:rFonts w:ascii="Cambria" w:hAnsi="Cambria"/>
        </w:rPr>
        <w:t xml:space="preserve"> </w:t>
      </w:r>
      <w:r w:rsidR="00BF5FF8" w:rsidRPr="002A0613">
        <w:rPr>
          <w:rFonts w:ascii="Cambria" w:hAnsi="Cambria"/>
        </w:rPr>
        <w:t xml:space="preserve">legislative reforms to Parliament within a period of two </w:t>
      </w:r>
      <w:r w:rsidR="00B464A4">
        <w:rPr>
          <w:rFonts w:ascii="Cambria" w:hAnsi="Cambria"/>
        </w:rPr>
        <w:t xml:space="preserve">to </w:t>
      </w:r>
      <w:r w:rsidR="00BF5FF8" w:rsidRPr="002A0613">
        <w:rPr>
          <w:rFonts w:ascii="Cambria" w:hAnsi="Cambria"/>
        </w:rPr>
        <w:t>three years.</w:t>
      </w:r>
      <w:bookmarkStart w:id="0" w:name="_Ref379454778"/>
      <w:r w:rsidR="00BF5FF8" w:rsidRPr="002A0613">
        <w:rPr>
          <w:rStyle w:val="FootnoteReference"/>
          <w:rFonts w:ascii="Cambria" w:hAnsi="Cambria"/>
        </w:rPr>
        <w:footnoteReference w:id="7"/>
      </w:r>
      <w:bookmarkEnd w:id="0"/>
    </w:p>
    <w:p w:rsidR="003F0D26" w:rsidRDefault="003F0D26" w:rsidP="00A3414E">
      <w:pPr>
        <w:jc w:val="both"/>
        <w:rPr>
          <w:rFonts w:ascii="Cambria" w:hAnsi="Cambria"/>
        </w:rPr>
      </w:pPr>
    </w:p>
    <w:p w:rsidR="00112A8B" w:rsidRPr="002A0613" w:rsidRDefault="003F0D26" w:rsidP="00A3414E">
      <w:pPr>
        <w:jc w:val="both"/>
        <w:rPr>
          <w:rFonts w:ascii="Cambria" w:hAnsi="Cambria"/>
        </w:rPr>
      </w:pPr>
      <w:r>
        <w:rPr>
          <w:rFonts w:ascii="Cambria" w:hAnsi="Cambria"/>
        </w:rPr>
        <w:t xml:space="preserve">We were also concerned that delays would mean that the full review </w:t>
      </w:r>
      <w:r w:rsidR="00B61654">
        <w:rPr>
          <w:rFonts w:ascii="Cambria" w:hAnsi="Cambria"/>
        </w:rPr>
        <w:t xml:space="preserve">might not </w:t>
      </w:r>
      <w:r>
        <w:rPr>
          <w:rFonts w:ascii="Cambria" w:hAnsi="Cambria"/>
        </w:rPr>
        <w:t>take place within the lifetime of this government. These concerns appeared to have merit when, i</w:t>
      </w:r>
      <w:r w:rsidRPr="002A0613">
        <w:rPr>
          <w:rFonts w:ascii="Cambria" w:hAnsi="Cambria"/>
        </w:rPr>
        <w:t xml:space="preserve">n March 2017, the government announced that there would be delays in the </w:t>
      </w:r>
      <w:r w:rsidR="00B61654">
        <w:rPr>
          <w:rFonts w:ascii="Cambria" w:hAnsi="Cambria"/>
        </w:rPr>
        <w:t>first phase</w:t>
      </w:r>
      <w:r w:rsidRPr="002A0613">
        <w:rPr>
          <w:rFonts w:ascii="Cambria" w:hAnsi="Cambria"/>
        </w:rPr>
        <w:t xml:space="preserve"> process. </w:t>
      </w:r>
      <w:r>
        <w:rPr>
          <w:rFonts w:ascii="Cambria" w:hAnsi="Cambria"/>
        </w:rPr>
        <w:t xml:space="preserve">In response, CLD mobilised </w:t>
      </w:r>
      <w:r w:rsidRPr="002A0613">
        <w:rPr>
          <w:rFonts w:ascii="Cambria" w:hAnsi="Cambria"/>
        </w:rPr>
        <w:t xml:space="preserve">over 60 Canadian organisations and individuals to </w:t>
      </w:r>
      <w:r w:rsidR="00B61654">
        <w:rPr>
          <w:rFonts w:ascii="Cambria" w:hAnsi="Cambria"/>
        </w:rPr>
        <w:t xml:space="preserve">sign </w:t>
      </w:r>
      <w:r w:rsidRPr="002A0613">
        <w:rPr>
          <w:rFonts w:ascii="Cambria" w:hAnsi="Cambria"/>
        </w:rPr>
        <w:lastRenderedPageBreak/>
        <w:t>a letter to the Prime Minister expressing their concerns and urging the government to continue to move forward with the promised reforms.</w:t>
      </w:r>
      <w:r w:rsidRPr="002A0613">
        <w:rPr>
          <w:rFonts w:ascii="Cambria" w:hAnsi="Cambria"/>
          <w:vertAlign w:val="superscript"/>
        </w:rPr>
        <w:footnoteReference w:id="8"/>
      </w:r>
      <w:r>
        <w:rPr>
          <w:rFonts w:ascii="Cambria" w:hAnsi="Cambria"/>
        </w:rPr>
        <w:t xml:space="preserve"> </w:t>
      </w:r>
      <w:r w:rsidR="00B61654">
        <w:rPr>
          <w:rFonts w:ascii="Cambria" w:hAnsi="Cambria"/>
        </w:rPr>
        <w:t>As of today</w:t>
      </w:r>
      <w:r>
        <w:rPr>
          <w:rFonts w:ascii="Cambria" w:hAnsi="Cambria"/>
        </w:rPr>
        <w:t xml:space="preserve">, with the first round of reforms still being discussed in Parliament, it seems very unlikely that the full review will be concluded by 2018 as promised. This highlights the importance of achieving as much as possible in the first </w:t>
      </w:r>
      <w:r w:rsidR="00B61654">
        <w:rPr>
          <w:rFonts w:ascii="Cambria" w:hAnsi="Cambria"/>
        </w:rPr>
        <w:t xml:space="preserve">phase </w:t>
      </w:r>
      <w:r>
        <w:rPr>
          <w:rFonts w:ascii="Cambria" w:hAnsi="Cambria"/>
        </w:rPr>
        <w:t>of reforms.</w:t>
      </w:r>
    </w:p>
    <w:p w:rsidR="006B48E7" w:rsidRPr="002A0613" w:rsidRDefault="006B48E7" w:rsidP="00A3414E">
      <w:pPr>
        <w:jc w:val="both"/>
        <w:rPr>
          <w:rFonts w:ascii="Cambria" w:hAnsi="Cambria"/>
        </w:rPr>
      </w:pPr>
    </w:p>
    <w:p w:rsidR="00122172" w:rsidRPr="002A0613" w:rsidRDefault="00B61654" w:rsidP="00A3414E">
      <w:pPr>
        <w:jc w:val="both"/>
        <w:rPr>
          <w:rFonts w:ascii="Cambria" w:hAnsi="Cambria"/>
        </w:rPr>
      </w:pPr>
      <w:r>
        <w:rPr>
          <w:rFonts w:ascii="Cambria" w:hAnsi="Cambria"/>
        </w:rPr>
        <w:t xml:space="preserve">A </w:t>
      </w:r>
      <w:r w:rsidR="00122172" w:rsidRPr="002A0613">
        <w:rPr>
          <w:rFonts w:ascii="Cambria" w:hAnsi="Cambria"/>
        </w:rPr>
        <w:t>first</w:t>
      </w:r>
      <w:r w:rsidR="00B62286" w:rsidRPr="002A0613">
        <w:rPr>
          <w:rFonts w:ascii="Cambria" w:hAnsi="Cambria"/>
        </w:rPr>
        <w:t xml:space="preserve"> </w:t>
      </w:r>
      <w:r w:rsidR="00005CD2">
        <w:rPr>
          <w:rFonts w:ascii="Cambria" w:hAnsi="Cambria"/>
        </w:rPr>
        <w:t xml:space="preserve">set of </w:t>
      </w:r>
      <w:r w:rsidR="00B62286" w:rsidRPr="002A0613">
        <w:rPr>
          <w:rFonts w:ascii="Cambria" w:hAnsi="Cambria"/>
        </w:rPr>
        <w:t>draft ame</w:t>
      </w:r>
      <w:r w:rsidR="00005CD2">
        <w:rPr>
          <w:rFonts w:ascii="Cambria" w:hAnsi="Cambria"/>
        </w:rPr>
        <w:t xml:space="preserve">ndments, Bill C-58, An Act to amend </w:t>
      </w:r>
      <w:r w:rsidR="00005CD2" w:rsidRPr="00F44A4D">
        <w:rPr>
          <w:rFonts w:ascii="Cambria" w:hAnsi="Cambria"/>
        </w:rPr>
        <w:t>the Access to Information Act and the Privacy Act</w:t>
      </w:r>
      <w:r w:rsidR="00005CD2">
        <w:rPr>
          <w:rFonts w:ascii="Cambria" w:hAnsi="Cambria"/>
        </w:rPr>
        <w:t>,</w:t>
      </w:r>
      <w:r w:rsidR="00005CD2" w:rsidRPr="00F44A4D">
        <w:rPr>
          <w:rFonts w:ascii="Cambria" w:hAnsi="Cambria"/>
        </w:rPr>
        <w:t xml:space="preserve"> </w:t>
      </w:r>
      <w:r w:rsidR="00B62286" w:rsidRPr="002A0613">
        <w:rPr>
          <w:rFonts w:ascii="Cambria" w:hAnsi="Cambria"/>
        </w:rPr>
        <w:t xml:space="preserve">was </w:t>
      </w:r>
      <w:r w:rsidR="00005CD2">
        <w:rPr>
          <w:rFonts w:ascii="Cambria" w:hAnsi="Cambria"/>
        </w:rPr>
        <w:t xml:space="preserve">tabled in Parliament on 19 </w:t>
      </w:r>
      <w:r w:rsidR="00FD1B0E" w:rsidRPr="002A0613">
        <w:rPr>
          <w:rFonts w:ascii="Cambria" w:hAnsi="Cambria"/>
        </w:rPr>
        <w:t>June 2017</w:t>
      </w:r>
      <w:r w:rsidR="00005CD2">
        <w:rPr>
          <w:rFonts w:ascii="Cambria" w:hAnsi="Cambria"/>
        </w:rPr>
        <w:t>.</w:t>
      </w:r>
      <w:r w:rsidR="00005CD2">
        <w:rPr>
          <w:rStyle w:val="FootnoteReference"/>
          <w:rFonts w:ascii="Cambria" w:hAnsi="Cambria"/>
        </w:rPr>
        <w:footnoteReference w:id="9"/>
      </w:r>
      <w:r w:rsidR="00122172" w:rsidRPr="002A0613">
        <w:rPr>
          <w:rFonts w:ascii="Cambria" w:hAnsi="Cambria"/>
        </w:rPr>
        <w:t xml:space="preserve"> </w:t>
      </w:r>
      <w:r w:rsidR="00005CD2">
        <w:rPr>
          <w:rFonts w:ascii="Cambria" w:hAnsi="Cambria"/>
        </w:rPr>
        <w:t xml:space="preserve">The draft </w:t>
      </w:r>
      <w:r w:rsidR="00381CD0" w:rsidRPr="002A0613">
        <w:rPr>
          <w:rFonts w:ascii="Cambria" w:hAnsi="Cambria"/>
        </w:rPr>
        <w:t xml:space="preserve">was </w:t>
      </w:r>
      <w:r w:rsidR="00122172" w:rsidRPr="002A0613">
        <w:rPr>
          <w:rFonts w:ascii="Cambria" w:hAnsi="Cambria"/>
        </w:rPr>
        <w:t>roundly critiqued for not going far enough</w:t>
      </w:r>
      <w:r w:rsidR="00381CD0" w:rsidRPr="002A0613">
        <w:rPr>
          <w:rFonts w:ascii="Cambria" w:hAnsi="Cambria"/>
        </w:rPr>
        <w:t xml:space="preserve"> </w:t>
      </w:r>
      <w:r w:rsidR="00122172" w:rsidRPr="002A0613">
        <w:rPr>
          <w:rFonts w:ascii="Cambria" w:hAnsi="Cambria"/>
        </w:rPr>
        <w:t>not only</w:t>
      </w:r>
      <w:r w:rsidR="00555769" w:rsidRPr="002A0613">
        <w:rPr>
          <w:rFonts w:ascii="Cambria" w:hAnsi="Cambria"/>
        </w:rPr>
        <w:t xml:space="preserve"> by</w:t>
      </w:r>
      <w:r w:rsidR="00122172" w:rsidRPr="002A0613">
        <w:rPr>
          <w:rFonts w:ascii="Cambria" w:hAnsi="Cambria"/>
        </w:rPr>
        <w:t xml:space="preserve"> CLD and other RTI advocates,</w:t>
      </w:r>
      <w:bookmarkStart w:id="1" w:name="_Ref379454809"/>
      <w:r w:rsidR="00005CD2">
        <w:rPr>
          <w:rStyle w:val="FootnoteReference"/>
          <w:rFonts w:ascii="Cambria" w:hAnsi="Cambria"/>
        </w:rPr>
        <w:footnoteReference w:id="10"/>
      </w:r>
      <w:bookmarkEnd w:id="1"/>
      <w:r w:rsidR="00122172" w:rsidRPr="002A0613">
        <w:rPr>
          <w:rFonts w:ascii="Cambria" w:hAnsi="Cambria"/>
        </w:rPr>
        <w:t xml:space="preserve"> but also by the Inform</w:t>
      </w:r>
      <w:r>
        <w:rPr>
          <w:rFonts w:ascii="Cambria" w:hAnsi="Cambria"/>
        </w:rPr>
        <w:t>ation C</w:t>
      </w:r>
      <w:r w:rsidR="00122172" w:rsidRPr="002A0613">
        <w:rPr>
          <w:rFonts w:ascii="Cambria" w:hAnsi="Cambria"/>
        </w:rPr>
        <w:t xml:space="preserve">ommissioner </w:t>
      </w:r>
      <w:r>
        <w:rPr>
          <w:rFonts w:ascii="Cambria" w:hAnsi="Cambria"/>
        </w:rPr>
        <w:t>of Canada</w:t>
      </w:r>
      <w:r w:rsidR="00122172" w:rsidRPr="002A0613">
        <w:rPr>
          <w:rFonts w:ascii="Cambria" w:hAnsi="Cambria"/>
        </w:rPr>
        <w:t>, who wrote in her report:</w:t>
      </w:r>
    </w:p>
    <w:p w:rsidR="00381CD0" w:rsidRPr="002A0613" w:rsidRDefault="00381CD0" w:rsidP="00B960D4">
      <w:pPr>
        <w:jc w:val="both"/>
        <w:rPr>
          <w:rFonts w:ascii="Cambria" w:hAnsi="Cambria"/>
        </w:rPr>
      </w:pPr>
    </w:p>
    <w:p w:rsidR="00122172" w:rsidRPr="002A0613" w:rsidRDefault="00122172" w:rsidP="00D3269A">
      <w:pPr>
        <w:ind w:left="862" w:right="862"/>
        <w:jc w:val="both"/>
        <w:rPr>
          <w:rFonts w:ascii="Cambria" w:hAnsi="Cambria"/>
          <w:sz w:val="20"/>
        </w:rPr>
      </w:pPr>
      <w:r w:rsidRPr="002A0613">
        <w:rPr>
          <w:rFonts w:ascii="Cambria" w:hAnsi="Cambria"/>
          <w:sz w:val="20"/>
        </w:rPr>
        <w:t>In short, Bill C-58 fails to deliver. </w:t>
      </w:r>
    </w:p>
    <w:p w:rsidR="00BF47F0" w:rsidRDefault="00BF47F0" w:rsidP="00D3269A">
      <w:pPr>
        <w:ind w:left="862" w:right="862"/>
        <w:jc w:val="both"/>
        <w:rPr>
          <w:rFonts w:ascii="Cambria" w:hAnsi="Cambria"/>
          <w:sz w:val="20"/>
        </w:rPr>
      </w:pPr>
    </w:p>
    <w:p w:rsidR="00122172" w:rsidRPr="002A0613" w:rsidRDefault="00122172" w:rsidP="00BF47F0">
      <w:pPr>
        <w:ind w:left="1440" w:right="862"/>
        <w:jc w:val="both"/>
        <w:rPr>
          <w:rFonts w:ascii="Cambria" w:hAnsi="Cambria"/>
          <w:sz w:val="20"/>
        </w:rPr>
      </w:pPr>
      <w:r w:rsidRPr="002A0613">
        <w:rPr>
          <w:rFonts w:ascii="Cambria" w:hAnsi="Cambria"/>
          <w:sz w:val="20"/>
        </w:rPr>
        <w:t xml:space="preserve">The government promised the bill would ensure the Act applies to the Prime Minister’s and Ministers’ Offices appropriately. </w:t>
      </w:r>
      <w:r w:rsidRPr="002A0613">
        <w:rPr>
          <w:rFonts w:ascii="Cambria" w:hAnsi="Cambria"/>
          <w:b/>
          <w:bCs/>
          <w:sz w:val="20"/>
        </w:rPr>
        <w:t xml:space="preserve">It does not. </w:t>
      </w:r>
    </w:p>
    <w:p w:rsidR="00BF47F0" w:rsidRDefault="00BF47F0" w:rsidP="00BF47F0">
      <w:pPr>
        <w:ind w:left="1440" w:right="862"/>
        <w:jc w:val="both"/>
        <w:rPr>
          <w:rFonts w:ascii="Cambria" w:hAnsi="Cambria"/>
          <w:sz w:val="20"/>
        </w:rPr>
      </w:pPr>
    </w:p>
    <w:p w:rsidR="00122172" w:rsidRPr="002A0613" w:rsidRDefault="00122172" w:rsidP="00BF47F0">
      <w:pPr>
        <w:ind w:left="1440" w:right="862"/>
        <w:jc w:val="both"/>
        <w:rPr>
          <w:rFonts w:ascii="Cambria" w:hAnsi="Cambria"/>
          <w:sz w:val="20"/>
        </w:rPr>
      </w:pPr>
      <w:r w:rsidRPr="002A0613">
        <w:rPr>
          <w:rFonts w:ascii="Cambria" w:hAnsi="Cambria"/>
          <w:sz w:val="20"/>
        </w:rPr>
        <w:t xml:space="preserve">The government promised the bill would apply appropriately to administrative institutions that support Parliament and the courts. </w:t>
      </w:r>
      <w:r w:rsidRPr="002A0613">
        <w:rPr>
          <w:rFonts w:ascii="Cambria" w:hAnsi="Cambria"/>
          <w:b/>
          <w:bCs/>
          <w:sz w:val="20"/>
        </w:rPr>
        <w:t xml:space="preserve">It does not. </w:t>
      </w:r>
    </w:p>
    <w:p w:rsidR="00BF47F0" w:rsidRDefault="00BF47F0" w:rsidP="00BF47F0">
      <w:pPr>
        <w:ind w:left="1440" w:right="862"/>
        <w:jc w:val="both"/>
        <w:rPr>
          <w:rFonts w:ascii="Cambria" w:hAnsi="Cambria"/>
          <w:sz w:val="20"/>
        </w:rPr>
      </w:pPr>
    </w:p>
    <w:p w:rsidR="00122172" w:rsidRPr="002A0613" w:rsidRDefault="00122172" w:rsidP="00BF47F0">
      <w:pPr>
        <w:ind w:left="1440" w:right="862"/>
        <w:jc w:val="both"/>
        <w:rPr>
          <w:rFonts w:ascii="Cambria" w:hAnsi="Cambria"/>
          <w:sz w:val="20"/>
        </w:rPr>
      </w:pPr>
      <w:r w:rsidRPr="002A0613">
        <w:rPr>
          <w:rFonts w:ascii="Cambria" w:hAnsi="Cambria"/>
          <w:sz w:val="20"/>
        </w:rPr>
        <w:t xml:space="preserve">The government promised the bill would empower the Information Commissioner to order the release of government information. </w:t>
      </w:r>
      <w:r w:rsidRPr="002A0613">
        <w:rPr>
          <w:rFonts w:ascii="Cambria" w:hAnsi="Cambria"/>
          <w:b/>
          <w:bCs/>
          <w:sz w:val="20"/>
        </w:rPr>
        <w:t>It does not.</w:t>
      </w:r>
      <w:bookmarkStart w:id="2" w:name="_Ref379474558"/>
      <w:r w:rsidR="00C0588E" w:rsidRPr="002A0613">
        <w:rPr>
          <w:rStyle w:val="FootnoteReference"/>
          <w:rFonts w:ascii="Cambria" w:hAnsi="Cambria"/>
          <w:color w:val="000000" w:themeColor="text1"/>
          <w:sz w:val="20"/>
        </w:rPr>
        <w:footnoteReference w:id="11"/>
      </w:r>
      <w:bookmarkEnd w:id="2"/>
    </w:p>
    <w:p w:rsidR="000B09C3" w:rsidRPr="002A0613" w:rsidRDefault="000B09C3" w:rsidP="00B960D4">
      <w:pPr>
        <w:jc w:val="both"/>
        <w:rPr>
          <w:rFonts w:ascii="Cambria" w:hAnsi="Cambria"/>
        </w:rPr>
      </w:pPr>
    </w:p>
    <w:p w:rsidR="00870B0B" w:rsidRDefault="00870B0B" w:rsidP="00A3414E">
      <w:pPr>
        <w:jc w:val="both"/>
        <w:rPr>
          <w:rFonts w:ascii="Cambria" w:hAnsi="Cambria"/>
        </w:rPr>
      </w:pPr>
      <w:r>
        <w:rPr>
          <w:rFonts w:ascii="Cambria" w:hAnsi="Cambria"/>
        </w:rPr>
        <w:t>In its comments on the initial draft of Bill C-58, CLD made the following points:</w:t>
      </w:r>
    </w:p>
    <w:p w:rsidR="008822FC" w:rsidRDefault="008822FC" w:rsidP="008822FC">
      <w:pPr>
        <w:pStyle w:val="ListParagraph"/>
        <w:numPr>
          <w:ilvl w:val="0"/>
          <w:numId w:val="8"/>
        </w:numPr>
        <w:jc w:val="both"/>
        <w:rPr>
          <w:rFonts w:ascii="Cambria" w:hAnsi="Cambria"/>
        </w:rPr>
      </w:pPr>
      <w:r>
        <w:rPr>
          <w:rFonts w:ascii="Cambria" w:hAnsi="Cambria"/>
        </w:rPr>
        <w:t xml:space="preserve">We welcomed the fact that the Bill would formalise the fee waivers for responding to requests and the fact that the Bill granted </w:t>
      </w:r>
      <w:r w:rsidR="00B50F77" w:rsidRPr="00870B0B">
        <w:rPr>
          <w:rFonts w:ascii="Cambria" w:hAnsi="Cambria"/>
        </w:rPr>
        <w:t xml:space="preserve">order making powers </w:t>
      </w:r>
      <w:r w:rsidR="00FD1B0E" w:rsidRPr="00870B0B">
        <w:rPr>
          <w:rFonts w:ascii="Cambria" w:hAnsi="Cambria"/>
        </w:rPr>
        <w:t>to the Information Commissioner</w:t>
      </w:r>
      <w:r>
        <w:rPr>
          <w:rFonts w:ascii="Cambria" w:hAnsi="Cambria"/>
        </w:rPr>
        <w:t xml:space="preserve">, </w:t>
      </w:r>
      <w:r w:rsidR="00FD1B0E" w:rsidRPr="00870B0B">
        <w:rPr>
          <w:rFonts w:ascii="Cambria" w:hAnsi="Cambria"/>
        </w:rPr>
        <w:t>a</w:t>
      </w:r>
      <w:r>
        <w:rPr>
          <w:rFonts w:ascii="Cambria" w:hAnsi="Cambria"/>
        </w:rPr>
        <w:t>n</w:t>
      </w:r>
      <w:r w:rsidR="00B50F77" w:rsidRPr="00870B0B">
        <w:rPr>
          <w:rFonts w:ascii="Cambria" w:hAnsi="Cambria"/>
        </w:rPr>
        <w:t xml:space="preserve"> </w:t>
      </w:r>
      <w:r>
        <w:rPr>
          <w:rFonts w:ascii="Cambria" w:hAnsi="Cambria"/>
        </w:rPr>
        <w:t xml:space="preserve">important measure </w:t>
      </w:r>
      <w:r w:rsidR="00B50F77" w:rsidRPr="00870B0B">
        <w:rPr>
          <w:rFonts w:ascii="Cambria" w:hAnsi="Cambria"/>
        </w:rPr>
        <w:t>that</w:t>
      </w:r>
      <w:r>
        <w:rPr>
          <w:rFonts w:ascii="Cambria" w:hAnsi="Cambria"/>
        </w:rPr>
        <w:t xml:space="preserve"> CLD and </w:t>
      </w:r>
      <w:r w:rsidR="00B50F77" w:rsidRPr="00870B0B">
        <w:rPr>
          <w:rFonts w:ascii="Cambria" w:hAnsi="Cambria"/>
        </w:rPr>
        <w:t xml:space="preserve">others </w:t>
      </w:r>
      <w:r>
        <w:rPr>
          <w:rFonts w:ascii="Cambria" w:hAnsi="Cambria"/>
        </w:rPr>
        <w:t>had repeatedly called for</w:t>
      </w:r>
      <w:r w:rsidR="00555769" w:rsidRPr="00870B0B">
        <w:rPr>
          <w:rFonts w:ascii="Cambria" w:hAnsi="Cambria"/>
        </w:rPr>
        <w:t>.</w:t>
      </w:r>
    </w:p>
    <w:p w:rsidR="008822FC" w:rsidRDefault="008822FC" w:rsidP="008822FC">
      <w:pPr>
        <w:pStyle w:val="ListParagraph"/>
        <w:numPr>
          <w:ilvl w:val="0"/>
          <w:numId w:val="8"/>
        </w:numPr>
        <w:jc w:val="both"/>
        <w:rPr>
          <w:rFonts w:ascii="Cambria" w:hAnsi="Cambria"/>
        </w:rPr>
      </w:pPr>
      <w:r>
        <w:rPr>
          <w:rFonts w:ascii="Cambria" w:hAnsi="Cambria"/>
        </w:rPr>
        <w:t>However, we noted that the Bill failed:</w:t>
      </w:r>
    </w:p>
    <w:p w:rsidR="008822FC" w:rsidRDefault="008822FC" w:rsidP="008822FC">
      <w:pPr>
        <w:pStyle w:val="ListParagraph"/>
        <w:numPr>
          <w:ilvl w:val="1"/>
          <w:numId w:val="8"/>
        </w:numPr>
        <w:jc w:val="both"/>
        <w:rPr>
          <w:rFonts w:ascii="Cambria" w:hAnsi="Cambria"/>
        </w:rPr>
      </w:pPr>
      <w:r>
        <w:rPr>
          <w:rFonts w:ascii="Cambria" w:hAnsi="Cambria"/>
        </w:rPr>
        <w:t xml:space="preserve">To expand the scope of the ATIA, as had been promised, to </w:t>
      </w:r>
      <w:r w:rsidRPr="002A0613">
        <w:rPr>
          <w:rFonts w:ascii="Cambria" w:hAnsi="Cambria"/>
        </w:rPr>
        <w:t>the offices of the Prime Minister and Ministers and the administrative institutions that support parliament and the courts</w:t>
      </w:r>
      <w:r>
        <w:rPr>
          <w:rFonts w:ascii="Cambria" w:hAnsi="Cambria"/>
        </w:rPr>
        <w:t>, instead only imposing limited obligations on these bodies to disclose information proactively (and not in response to requests).</w:t>
      </w:r>
    </w:p>
    <w:p w:rsidR="008822FC" w:rsidRDefault="008822FC" w:rsidP="008822FC">
      <w:pPr>
        <w:pStyle w:val="ListParagraph"/>
        <w:numPr>
          <w:ilvl w:val="1"/>
          <w:numId w:val="8"/>
        </w:numPr>
        <w:jc w:val="both"/>
        <w:rPr>
          <w:rFonts w:ascii="Cambria" w:hAnsi="Cambria"/>
        </w:rPr>
      </w:pPr>
      <w:r>
        <w:rPr>
          <w:rFonts w:ascii="Cambria" w:hAnsi="Cambria"/>
        </w:rPr>
        <w:t>To do anything to address the very serious delays in responding to requests.</w:t>
      </w:r>
    </w:p>
    <w:p w:rsidR="008822FC" w:rsidRDefault="008822FC" w:rsidP="008822FC">
      <w:pPr>
        <w:pStyle w:val="ListParagraph"/>
        <w:numPr>
          <w:ilvl w:val="1"/>
          <w:numId w:val="8"/>
        </w:numPr>
        <w:jc w:val="both"/>
        <w:rPr>
          <w:rFonts w:ascii="Cambria" w:hAnsi="Cambria"/>
        </w:rPr>
      </w:pPr>
      <w:r>
        <w:rPr>
          <w:rFonts w:ascii="Cambria" w:hAnsi="Cambria"/>
        </w:rPr>
        <w:t xml:space="preserve">To do anything to address the vastly overbroad regime of exceptions (if anything, expanding its scope slightly). </w:t>
      </w:r>
    </w:p>
    <w:p w:rsidR="008822FC" w:rsidRDefault="008822FC" w:rsidP="008822FC">
      <w:pPr>
        <w:pStyle w:val="ListParagraph"/>
        <w:numPr>
          <w:ilvl w:val="1"/>
          <w:numId w:val="8"/>
        </w:numPr>
        <w:jc w:val="both"/>
        <w:rPr>
          <w:rFonts w:ascii="Cambria" w:hAnsi="Cambria"/>
        </w:rPr>
      </w:pPr>
      <w:r>
        <w:rPr>
          <w:rFonts w:ascii="Cambria" w:hAnsi="Cambria"/>
        </w:rPr>
        <w:t xml:space="preserve">To </w:t>
      </w:r>
      <w:r w:rsidR="00486DA6">
        <w:rPr>
          <w:rFonts w:ascii="Cambria" w:hAnsi="Cambria"/>
        </w:rPr>
        <w:t>put in place a duty to document important decision making processes.</w:t>
      </w:r>
    </w:p>
    <w:p w:rsidR="00381CD0" w:rsidRPr="00870B0B" w:rsidRDefault="0055562B" w:rsidP="008822FC">
      <w:pPr>
        <w:pStyle w:val="ListParagraph"/>
        <w:numPr>
          <w:ilvl w:val="0"/>
          <w:numId w:val="8"/>
        </w:numPr>
        <w:jc w:val="both"/>
        <w:rPr>
          <w:rFonts w:ascii="Cambria" w:hAnsi="Cambria"/>
        </w:rPr>
      </w:pPr>
      <w:r>
        <w:rPr>
          <w:rFonts w:ascii="Cambria" w:hAnsi="Cambria"/>
        </w:rPr>
        <w:lastRenderedPageBreak/>
        <w:t>We also noted that t</w:t>
      </w:r>
      <w:r w:rsidR="008822FC">
        <w:rPr>
          <w:rFonts w:ascii="Cambria" w:hAnsi="Cambria"/>
        </w:rPr>
        <w:t xml:space="preserve">he Bill would remove the obligation on public authorities to publish </w:t>
      </w:r>
      <w:r>
        <w:rPr>
          <w:rFonts w:ascii="Cambria" w:hAnsi="Cambria"/>
        </w:rPr>
        <w:t xml:space="preserve">information </w:t>
      </w:r>
      <w:r w:rsidR="008822FC">
        <w:rPr>
          <w:rFonts w:ascii="Cambria" w:hAnsi="Cambria"/>
        </w:rPr>
        <w:t xml:space="preserve">about the classes of records </w:t>
      </w:r>
      <w:r w:rsidR="00B61654">
        <w:rPr>
          <w:rFonts w:ascii="Cambria" w:hAnsi="Cambria"/>
        </w:rPr>
        <w:t>they hold</w:t>
      </w:r>
      <w:r w:rsidR="008822FC">
        <w:rPr>
          <w:rFonts w:ascii="Cambria" w:hAnsi="Cambria"/>
        </w:rPr>
        <w:t>, which is designed to facilitate the making of requests for access to information.</w:t>
      </w:r>
      <w:r w:rsidR="00B61654">
        <w:rPr>
          <w:rStyle w:val="FootnoteReference"/>
          <w:rFonts w:ascii="Cambria" w:hAnsi="Cambria"/>
        </w:rPr>
        <w:footnoteReference w:id="12"/>
      </w:r>
    </w:p>
    <w:p w:rsidR="00381CD0" w:rsidRPr="002A0613" w:rsidRDefault="00381CD0" w:rsidP="00A3414E">
      <w:pPr>
        <w:jc w:val="both"/>
        <w:rPr>
          <w:rFonts w:ascii="Cambria" w:hAnsi="Cambria"/>
        </w:rPr>
      </w:pPr>
    </w:p>
    <w:p w:rsidR="00381CD0" w:rsidRPr="00486DA6" w:rsidRDefault="006865E5" w:rsidP="00135802">
      <w:pPr>
        <w:pStyle w:val="Normal1"/>
        <w:spacing w:line="240" w:lineRule="auto"/>
        <w:contextualSpacing/>
        <w:jc w:val="both"/>
        <w:rPr>
          <w:rFonts w:ascii="Cambria" w:hAnsi="Cambria"/>
          <w:sz w:val="24"/>
          <w:szCs w:val="24"/>
        </w:rPr>
      </w:pPr>
      <w:r w:rsidRPr="00486DA6">
        <w:rPr>
          <w:rFonts w:ascii="Cambria" w:hAnsi="Cambria"/>
          <w:sz w:val="24"/>
        </w:rPr>
        <w:t>On 28 September 2017</w:t>
      </w:r>
      <w:r w:rsidR="0055562B" w:rsidRPr="00486DA6">
        <w:rPr>
          <w:rFonts w:ascii="Cambria" w:hAnsi="Cambria"/>
          <w:sz w:val="24"/>
        </w:rPr>
        <w:t>, CLD and other civil society organisations sent</w:t>
      </w:r>
      <w:r w:rsidRPr="00486DA6">
        <w:rPr>
          <w:rFonts w:ascii="Cambria" w:hAnsi="Cambria"/>
          <w:sz w:val="24"/>
        </w:rPr>
        <w:t xml:space="preserve"> </w:t>
      </w:r>
      <w:r w:rsidR="00486DA6" w:rsidRPr="00486DA6">
        <w:rPr>
          <w:rFonts w:ascii="Cambria" w:hAnsi="Cambria"/>
          <w:sz w:val="24"/>
        </w:rPr>
        <w:t>a</w:t>
      </w:r>
      <w:r w:rsidRPr="00486DA6">
        <w:rPr>
          <w:rFonts w:ascii="Cambria" w:hAnsi="Cambria"/>
          <w:sz w:val="24"/>
        </w:rPr>
        <w:t xml:space="preserve"> letter to the </w:t>
      </w:r>
      <w:r w:rsidR="00486DA6" w:rsidRPr="00486DA6">
        <w:rPr>
          <w:rFonts w:ascii="Cambria" w:hAnsi="Cambria"/>
          <w:sz w:val="24"/>
          <w:szCs w:val="24"/>
        </w:rPr>
        <w:t xml:space="preserve">Honourable Scott </w:t>
      </w:r>
      <w:proofErr w:type="spellStart"/>
      <w:r w:rsidR="00486DA6" w:rsidRPr="00486DA6">
        <w:rPr>
          <w:rFonts w:ascii="Cambria" w:hAnsi="Cambria"/>
          <w:sz w:val="24"/>
          <w:szCs w:val="24"/>
        </w:rPr>
        <w:t>Brison</w:t>
      </w:r>
      <w:proofErr w:type="spellEnd"/>
      <w:r w:rsidR="00486DA6" w:rsidRPr="00486DA6">
        <w:rPr>
          <w:rFonts w:ascii="Cambria" w:hAnsi="Cambria"/>
          <w:sz w:val="24"/>
          <w:szCs w:val="24"/>
        </w:rPr>
        <w:t>,</w:t>
      </w:r>
      <w:r w:rsidR="00486DA6">
        <w:rPr>
          <w:rFonts w:ascii="Cambria" w:hAnsi="Cambria"/>
          <w:sz w:val="24"/>
          <w:szCs w:val="24"/>
        </w:rPr>
        <w:t xml:space="preserve"> </w:t>
      </w:r>
      <w:r w:rsidR="00486DA6" w:rsidRPr="00486DA6">
        <w:rPr>
          <w:rFonts w:ascii="Cambria" w:hAnsi="Cambria"/>
          <w:sz w:val="24"/>
          <w:szCs w:val="24"/>
        </w:rPr>
        <w:t>President of the Treasury Board</w:t>
      </w:r>
      <w:r w:rsidR="0055562B" w:rsidRPr="00486DA6">
        <w:rPr>
          <w:rFonts w:ascii="Cambria" w:hAnsi="Cambria"/>
          <w:sz w:val="24"/>
        </w:rPr>
        <w:t xml:space="preserve">, signed by </w:t>
      </w:r>
      <w:r w:rsidR="00B81569">
        <w:rPr>
          <w:rFonts w:ascii="Cambria" w:hAnsi="Cambria"/>
          <w:sz w:val="24"/>
        </w:rPr>
        <w:t xml:space="preserve">over </w:t>
      </w:r>
      <w:r w:rsidR="0055562B" w:rsidRPr="00486DA6">
        <w:rPr>
          <w:rFonts w:ascii="Cambria" w:hAnsi="Cambria"/>
          <w:sz w:val="24"/>
        </w:rPr>
        <w:t>60 Canadia</w:t>
      </w:r>
      <w:r w:rsidR="007C0148">
        <w:rPr>
          <w:rFonts w:ascii="Cambria" w:hAnsi="Cambria"/>
          <w:sz w:val="24"/>
        </w:rPr>
        <w:t>n organisations and individuals.</w:t>
      </w:r>
      <w:r w:rsidR="007C0148" w:rsidRPr="00486DA6">
        <w:rPr>
          <w:rStyle w:val="FootnoteReference"/>
          <w:rFonts w:ascii="Cambria" w:hAnsi="Cambria"/>
          <w:sz w:val="24"/>
        </w:rPr>
        <w:footnoteReference w:id="13"/>
      </w:r>
      <w:r w:rsidRPr="00486DA6">
        <w:rPr>
          <w:rFonts w:ascii="Cambria" w:hAnsi="Cambria"/>
          <w:sz w:val="24"/>
        </w:rPr>
        <w:t xml:space="preserve"> </w:t>
      </w:r>
      <w:r w:rsidR="007C0148">
        <w:rPr>
          <w:rFonts w:ascii="Cambria" w:hAnsi="Cambria"/>
          <w:sz w:val="24"/>
        </w:rPr>
        <w:t>This letter called for Bill C-58 “</w:t>
      </w:r>
      <w:r w:rsidR="007C0148" w:rsidRPr="007C0148">
        <w:rPr>
          <w:rFonts w:ascii="Cambria" w:hAnsi="Cambria"/>
          <w:sz w:val="24"/>
        </w:rPr>
        <w:t>to be scrapped, and for government officials to be tasked with crafting a bill that takes seriously the crisis undermining our right to know</w:t>
      </w:r>
      <w:r w:rsidR="007C0148">
        <w:rPr>
          <w:rFonts w:ascii="Cambria" w:hAnsi="Cambria"/>
          <w:sz w:val="24"/>
        </w:rPr>
        <w:t xml:space="preserve">”. It called for any reforms of the ATIA </w:t>
      </w:r>
      <w:r w:rsidR="00B50F77" w:rsidRPr="00486DA6">
        <w:rPr>
          <w:rFonts w:ascii="Cambria" w:hAnsi="Cambria"/>
          <w:sz w:val="24"/>
        </w:rPr>
        <w:t>to</w:t>
      </w:r>
      <w:r w:rsidR="00B63DA4" w:rsidRPr="00486DA6">
        <w:rPr>
          <w:rFonts w:ascii="Cambria" w:hAnsi="Cambria"/>
          <w:sz w:val="24"/>
        </w:rPr>
        <w:t xml:space="preserve"> deliver </w:t>
      </w:r>
      <w:r w:rsidR="001F0CF7" w:rsidRPr="00486DA6">
        <w:rPr>
          <w:rFonts w:ascii="Cambria" w:hAnsi="Cambria"/>
          <w:sz w:val="24"/>
        </w:rPr>
        <w:t>on the promise to expand the scope of the</w:t>
      </w:r>
      <w:r w:rsidR="007C0148">
        <w:rPr>
          <w:rFonts w:ascii="Cambria" w:hAnsi="Cambria"/>
          <w:sz w:val="24"/>
        </w:rPr>
        <w:t xml:space="preserve"> Act</w:t>
      </w:r>
      <w:r w:rsidR="00381CD0" w:rsidRPr="00486DA6">
        <w:rPr>
          <w:rFonts w:ascii="Cambria" w:hAnsi="Cambria"/>
          <w:sz w:val="24"/>
        </w:rPr>
        <w:t xml:space="preserve">, </w:t>
      </w:r>
      <w:r w:rsidR="007C0148">
        <w:rPr>
          <w:rFonts w:ascii="Cambria" w:hAnsi="Cambria"/>
          <w:sz w:val="24"/>
        </w:rPr>
        <w:t xml:space="preserve">to </w:t>
      </w:r>
      <w:r w:rsidR="00B81569">
        <w:rPr>
          <w:rFonts w:ascii="Cambria" w:hAnsi="Cambria"/>
          <w:sz w:val="24"/>
        </w:rPr>
        <w:t>put</w:t>
      </w:r>
      <w:r w:rsidR="007C0148">
        <w:rPr>
          <w:rFonts w:ascii="Cambria" w:hAnsi="Cambria"/>
          <w:sz w:val="24"/>
        </w:rPr>
        <w:t xml:space="preserve"> in place </w:t>
      </w:r>
      <w:r w:rsidR="00381CD0" w:rsidRPr="00486DA6">
        <w:rPr>
          <w:rFonts w:ascii="Cambria" w:hAnsi="Cambria"/>
          <w:sz w:val="24"/>
        </w:rPr>
        <w:t xml:space="preserve">a formal duty to document </w:t>
      </w:r>
      <w:r w:rsidR="007C0148">
        <w:rPr>
          <w:rFonts w:ascii="Cambria" w:hAnsi="Cambria"/>
          <w:sz w:val="24"/>
        </w:rPr>
        <w:t xml:space="preserve">and </w:t>
      </w:r>
      <w:r w:rsidR="00381CD0" w:rsidRPr="00486DA6">
        <w:rPr>
          <w:rFonts w:ascii="Cambria" w:hAnsi="Cambria"/>
          <w:sz w:val="24"/>
        </w:rPr>
        <w:t>to preserve records</w:t>
      </w:r>
      <w:r w:rsidR="007C0148">
        <w:rPr>
          <w:rFonts w:ascii="Cambria" w:hAnsi="Cambria"/>
          <w:sz w:val="24"/>
        </w:rPr>
        <w:t>,</w:t>
      </w:r>
      <w:r w:rsidR="00381CD0" w:rsidRPr="00486DA6">
        <w:rPr>
          <w:rFonts w:ascii="Cambria" w:hAnsi="Cambria"/>
          <w:sz w:val="24"/>
        </w:rPr>
        <w:t xml:space="preserve"> </w:t>
      </w:r>
      <w:r w:rsidR="007C0148">
        <w:rPr>
          <w:rFonts w:ascii="Cambria" w:hAnsi="Cambria"/>
          <w:sz w:val="24"/>
        </w:rPr>
        <w:t>to limit</w:t>
      </w:r>
      <w:r w:rsidR="001F0CF7" w:rsidRPr="00486DA6">
        <w:rPr>
          <w:rFonts w:ascii="Cambria" w:hAnsi="Cambria"/>
          <w:sz w:val="24"/>
        </w:rPr>
        <w:t xml:space="preserve"> the discretion of public authorities to extend the time li</w:t>
      </w:r>
      <w:r w:rsidR="00381CD0" w:rsidRPr="00486DA6">
        <w:rPr>
          <w:rFonts w:ascii="Cambria" w:hAnsi="Cambria"/>
          <w:sz w:val="24"/>
        </w:rPr>
        <w:t>mits for responding to requests</w:t>
      </w:r>
      <w:r w:rsidR="007C0148">
        <w:rPr>
          <w:rFonts w:ascii="Cambria" w:hAnsi="Cambria"/>
          <w:sz w:val="24"/>
        </w:rPr>
        <w:t xml:space="preserve">, and to </w:t>
      </w:r>
      <w:r w:rsidR="00B81569">
        <w:rPr>
          <w:rFonts w:ascii="Cambria" w:hAnsi="Cambria"/>
          <w:sz w:val="24"/>
        </w:rPr>
        <w:t>introduce comprehensive</w:t>
      </w:r>
      <w:r w:rsidR="007C0148">
        <w:rPr>
          <w:rFonts w:ascii="Cambria" w:hAnsi="Cambria"/>
          <w:sz w:val="24"/>
        </w:rPr>
        <w:t xml:space="preserve"> reform</w:t>
      </w:r>
      <w:r w:rsidR="00B81569">
        <w:rPr>
          <w:rFonts w:ascii="Cambria" w:hAnsi="Cambria"/>
          <w:sz w:val="24"/>
        </w:rPr>
        <w:t>s</w:t>
      </w:r>
      <w:r w:rsidR="007C0148">
        <w:rPr>
          <w:rFonts w:ascii="Cambria" w:hAnsi="Cambria"/>
          <w:sz w:val="24"/>
        </w:rPr>
        <w:t xml:space="preserve"> </w:t>
      </w:r>
      <w:r w:rsidR="00B81569">
        <w:rPr>
          <w:rFonts w:ascii="Cambria" w:hAnsi="Cambria"/>
          <w:sz w:val="24"/>
        </w:rPr>
        <w:t xml:space="preserve">to </w:t>
      </w:r>
      <w:r w:rsidR="007C0148">
        <w:rPr>
          <w:rFonts w:ascii="Cambria" w:hAnsi="Cambria"/>
          <w:sz w:val="24"/>
        </w:rPr>
        <w:t xml:space="preserve">the regime of </w:t>
      </w:r>
      <w:r w:rsidR="00381CD0" w:rsidRPr="00486DA6">
        <w:rPr>
          <w:rFonts w:ascii="Cambria" w:hAnsi="Cambria"/>
          <w:sz w:val="24"/>
        </w:rPr>
        <w:t>exceptions and exclusions to the right of access</w:t>
      </w:r>
      <w:r w:rsidR="005C0207" w:rsidRPr="00486DA6">
        <w:rPr>
          <w:rFonts w:ascii="Cambria" w:hAnsi="Cambria"/>
          <w:sz w:val="24"/>
        </w:rPr>
        <w:t>.</w:t>
      </w:r>
      <w:r w:rsidR="00381CD0" w:rsidRPr="00486DA6">
        <w:rPr>
          <w:rFonts w:ascii="Cambria" w:hAnsi="Cambria"/>
          <w:sz w:val="24"/>
        </w:rPr>
        <w:t xml:space="preserve"> </w:t>
      </w:r>
    </w:p>
    <w:p w:rsidR="001F0CF7" w:rsidRPr="002A0613" w:rsidRDefault="001F0CF7" w:rsidP="00A3414E">
      <w:pPr>
        <w:jc w:val="both"/>
        <w:rPr>
          <w:rFonts w:ascii="Cambria" w:hAnsi="Cambria"/>
        </w:rPr>
      </w:pPr>
    </w:p>
    <w:p w:rsidR="008910DE" w:rsidRDefault="00504253" w:rsidP="00A3414E">
      <w:pPr>
        <w:jc w:val="both"/>
        <w:rPr>
          <w:rFonts w:ascii="Cambria" w:hAnsi="Cambria"/>
        </w:rPr>
      </w:pPr>
      <w:r w:rsidRPr="002A0613">
        <w:rPr>
          <w:rFonts w:ascii="Cambria" w:hAnsi="Cambria"/>
        </w:rPr>
        <w:t xml:space="preserve">Unfortunately, </w:t>
      </w:r>
      <w:r w:rsidR="00722937">
        <w:rPr>
          <w:rFonts w:ascii="Cambria" w:hAnsi="Cambria"/>
        </w:rPr>
        <w:t xml:space="preserve">the version of </w:t>
      </w:r>
      <w:r w:rsidR="009E21F0">
        <w:rPr>
          <w:rFonts w:ascii="Cambria" w:hAnsi="Cambria"/>
        </w:rPr>
        <w:t xml:space="preserve">Bill </w:t>
      </w:r>
      <w:r w:rsidR="00722937" w:rsidRPr="002A0613">
        <w:rPr>
          <w:rFonts w:ascii="Cambria" w:hAnsi="Cambria"/>
        </w:rPr>
        <w:t>C</w:t>
      </w:r>
      <w:r w:rsidR="009E21F0">
        <w:rPr>
          <w:rFonts w:ascii="Cambria" w:hAnsi="Cambria"/>
        </w:rPr>
        <w:t>-</w:t>
      </w:r>
      <w:r w:rsidR="00722937" w:rsidRPr="002A0613">
        <w:rPr>
          <w:rFonts w:ascii="Cambria" w:hAnsi="Cambria"/>
        </w:rPr>
        <w:t xml:space="preserve">58 </w:t>
      </w:r>
      <w:r w:rsidR="00722937">
        <w:rPr>
          <w:rFonts w:ascii="Cambria" w:hAnsi="Cambria"/>
        </w:rPr>
        <w:t xml:space="preserve">that was passed </w:t>
      </w:r>
      <w:r w:rsidR="00135802">
        <w:rPr>
          <w:rFonts w:ascii="Cambria" w:hAnsi="Cambria"/>
        </w:rPr>
        <w:t xml:space="preserve">at the third reading of the House of Commons on 6 December 2017 </w:t>
      </w:r>
      <w:r w:rsidR="008910DE">
        <w:rPr>
          <w:rFonts w:ascii="Cambria" w:hAnsi="Cambria"/>
        </w:rPr>
        <w:t xml:space="preserve">is very </w:t>
      </w:r>
      <w:r w:rsidR="00B81569">
        <w:rPr>
          <w:rFonts w:ascii="Cambria" w:hAnsi="Cambria"/>
        </w:rPr>
        <w:t>similar to</w:t>
      </w:r>
      <w:r w:rsidR="008910DE">
        <w:rPr>
          <w:rFonts w:ascii="Cambria" w:hAnsi="Cambria"/>
        </w:rPr>
        <w:t xml:space="preserve"> the original version passed in June 2017.</w:t>
      </w:r>
      <w:r w:rsidR="00B81569">
        <w:rPr>
          <w:rStyle w:val="FootnoteReference"/>
          <w:rFonts w:ascii="Cambria" w:hAnsi="Cambria"/>
        </w:rPr>
        <w:footnoteReference w:id="14"/>
      </w:r>
      <w:r w:rsidR="008910DE">
        <w:rPr>
          <w:rFonts w:ascii="Cambria" w:hAnsi="Cambria"/>
        </w:rPr>
        <w:t xml:space="preserve"> The main </w:t>
      </w:r>
      <w:r w:rsidR="009E21F0">
        <w:rPr>
          <w:rFonts w:ascii="Cambria" w:hAnsi="Cambria"/>
        </w:rPr>
        <w:t>improvement</w:t>
      </w:r>
      <w:r w:rsidR="008910DE">
        <w:rPr>
          <w:rFonts w:ascii="Cambria" w:hAnsi="Cambria"/>
        </w:rPr>
        <w:t xml:space="preserve"> </w:t>
      </w:r>
      <w:r w:rsidR="009E21F0">
        <w:rPr>
          <w:rFonts w:ascii="Cambria" w:hAnsi="Cambria"/>
        </w:rPr>
        <w:t xml:space="preserve">relates to </w:t>
      </w:r>
      <w:r w:rsidR="008910DE">
        <w:rPr>
          <w:rFonts w:ascii="Cambria" w:hAnsi="Cambria"/>
        </w:rPr>
        <w:t xml:space="preserve">the new proposed section 6.1, which would have allowed </w:t>
      </w:r>
      <w:r w:rsidR="009E21F0">
        <w:rPr>
          <w:rFonts w:ascii="Cambria" w:hAnsi="Cambria"/>
        </w:rPr>
        <w:t>the heads of public authorities to refuse to process requests in certain cases, including because they con</w:t>
      </w:r>
      <w:r w:rsidR="00B81569">
        <w:rPr>
          <w:rFonts w:ascii="Cambria" w:hAnsi="Cambria"/>
        </w:rPr>
        <w:t>sider</w:t>
      </w:r>
      <w:r w:rsidR="009E21F0">
        <w:rPr>
          <w:rFonts w:ascii="Cambria" w:hAnsi="Cambria"/>
        </w:rPr>
        <w:t xml:space="preserve"> that processing the request would “</w:t>
      </w:r>
      <w:r w:rsidR="009E21F0" w:rsidRPr="009E21F0">
        <w:rPr>
          <w:rFonts w:ascii="Cambria" w:hAnsi="Cambria"/>
        </w:rPr>
        <w:t>unreasonably interfere</w:t>
      </w:r>
      <w:r w:rsidR="009E21F0">
        <w:rPr>
          <w:rFonts w:ascii="Cambria" w:hAnsi="Cambria"/>
        </w:rPr>
        <w:t>”</w:t>
      </w:r>
      <w:r w:rsidR="009E21F0" w:rsidRPr="009E21F0">
        <w:rPr>
          <w:rFonts w:ascii="Cambria" w:hAnsi="Cambria"/>
        </w:rPr>
        <w:t xml:space="preserve"> with the</w:t>
      </w:r>
      <w:r w:rsidR="009E21F0">
        <w:rPr>
          <w:rFonts w:ascii="Cambria" w:hAnsi="Cambria"/>
        </w:rPr>
        <w:t>ir</w:t>
      </w:r>
      <w:r w:rsidR="009E21F0" w:rsidRPr="009E21F0">
        <w:rPr>
          <w:rFonts w:ascii="Cambria" w:hAnsi="Cambria"/>
        </w:rPr>
        <w:t xml:space="preserve"> operations</w:t>
      </w:r>
      <w:r w:rsidR="009E21F0">
        <w:rPr>
          <w:rFonts w:ascii="Cambria" w:hAnsi="Cambria"/>
        </w:rPr>
        <w:t xml:space="preserve"> or that the request is “</w:t>
      </w:r>
      <w:r w:rsidR="009E21F0" w:rsidRPr="009E21F0">
        <w:rPr>
          <w:rFonts w:ascii="Cambria" w:hAnsi="Cambria"/>
        </w:rPr>
        <w:t>vexatious, is made in bad faith or is otherwise an abuse of the right to make a request</w:t>
      </w:r>
      <w:r w:rsidR="009E21F0">
        <w:rPr>
          <w:rFonts w:ascii="Cambria" w:hAnsi="Cambria"/>
        </w:rPr>
        <w:t xml:space="preserve">”. The December version of Bill C-58 makes this </w:t>
      </w:r>
      <w:r w:rsidR="00103C8C">
        <w:rPr>
          <w:rFonts w:ascii="Cambria" w:hAnsi="Cambria"/>
        </w:rPr>
        <w:t>subject to the written approval of the Information Commissioner</w:t>
      </w:r>
      <w:r w:rsidR="00B81569">
        <w:rPr>
          <w:rFonts w:ascii="Cambria" w:hAnsi="Cambria"/>
        </w:rPr>
        <w:t>, thus substantially limiting the risk of abuse</w:t>
      </w:r>
      <w:r w:rsidR="00103C8C">
        <w:rPr>
          <w:rFonts w:ascii="Cambria" w:hAnsi="Cambria"/>
        </w:rPr>
        <w:t xml:space="preserve">. </w:t>
      </w:r>
    </w:p>
    <w:p w:rsidR="008910DE" w:rsidRDefault="008910DE" w:rsidP="00A3414E">
      <w:pPr>
        <w:jc w:val="both"/>
        <w:rPr>
          <w:rFonts w:ascii="Cambria" w:hAnsi="Cambria"/>
        </w:rPr>
      </w:pPr>
    </w:p>
    <w:p w:rsidR="00AC6A41" w:rsidRPr="002A0613" w:rsidRDefault="00AC6A41" w:rsidP="00A3414E">
      <w:pPr>
        <w:jc w:val="both"/>
        <w:rPr>
          <w:rFonts w:ascii="Cambria" w:hAnsi="Cambria"/>
          <w:b/>
        </w:rPr>
      </w:pPr>
      <w:r w:rsidRPr="002A0613">
        <w:rPr>
          <w:rFonts w:ascii="Cambria" w:hAnsi="Cambria"/>
        </w:rPr>
        <w:t>This Note</w:t>
      </w:r>
      <w:r w:rsidR="00B612CE" w:rsidRPr="002A0613">
        <w:rPr>
          <w:rFonts w:ascii="Cambria" w:hAnsi="Cambria"/>
        </w:rPr>
        <w:t xml:space="preserve"> </w:t>
      </w:r>
      <w:r w:rsidR="00EE2A14" w:rsidRPr="002A0613">
        <w:rPr>
          <w:rFonts w:ascii="Cambria" w:hAnsi="Cambria"/>
        </w:rPr>
        <w:t>elaborate</w:t>
      </w:r>
      <w:r w:rsidR="00135802">
        <w:rPr>
          <w:rFonts w:ascii="Cambria" w:hAnsi="Cambria"/>
        </w:rPr>
        <w:t>s</w:t>
      </w:r>
      <w:r w:rsidR="00EE2A14" w:rsidRPr="002A0613">
        <w:rPr>
          <w:rFonts w:ascii="Cambria" w:hAnsi="Cambria"/>
        </w:rPr>
        <w:t xml:space="preserve"> </w:t>
      </w:r>
      <w:r w:rsidR="00135802">
        <w:rPr>
          <w:rFonts w:ascii="Cambria" w:hAnsi="Cambria"/>
        </w:rPr>
        <w:t xml:space="preserve">on </w:t>
      </w:r>
      <w:r w:rsidRPr="002A0613">
        <w:rPr>
          <w:rFonts w:ascii="Cambria" w:hAnsi="Cambria"/>
        </w:rPr>
        <w:t xml:space="preserve">the </w:t>
      </w:r>
      <w:r w:rsidR="00B612CE" w:rsidRPr="002A0613">
        <w:rPr>
          <w:rFonts w:ascii="Cambria" w:hAnsi="Cambria"/>
        </w:rPr>
        <w:t>problem</w:t>
      </w:r>
      <w:r w:rsidR="005C0207" w:rsidRPr="002A0613">
        <w:rPr>
          <w:rFonts w:ascii="Cambria" w:hAnsi="Cambria"/>
        </w:rPr>
        <w:t>s</w:t>
      </w:r>
      <w:r w:rsidR="00B612CE" w:rsidRPr="002A0613">
        <w:rPr>
          <w:rFonts w:ascii="Cambria" w:hAnsi="Cambria"/>
        </w:rPr>
        <w:t xml:space="preserve"> with </w:t>
      </w:r>
      <w:r w:rsidRPr="002A0613">
        <w:rPr>
          <w:rFonts w:ascii="Cambria" w:hAnsi="Cambria"/>
        </w:rPr>
        <w:t>Bill</w:t>
      </w:r>
      <w:r w:rsidR="00103C8C">
        <w:rPr>
          <w:rFonts w:ascii="Cambria" w:hAnsi="Cambria"/>
        </w:rPr>
        <w:t xml:space="preserve"> C-58</w:t>
      </w:r>
      <w:r w:rsidR="00135802">
        <w:rPr>
          <w:rFonts w:ascii="Cambria" w:hAnsi="Cambria"/>
        </w:rPr>
        <w:t>,</w:t>
      </w:r>
      <w:r w:rsidRPr="002A0613">
        <w:rPr>
          <w:rFonts w:ascii="Cambria" w:hAnsi="Cambria"/>
        </w:rPr>
        <w:t xml:space="preserve"> </w:t>
      </w:r>
      <w:r w:rsidR="00EE2A14" w:rsidRPr="002A0613">
        <w:rPr>
          <w:rFonts w:ascii="Cambria" w:hAnsi="Cambria"/>
        </w:rPr>
        <w:t>focusing</w:t>
      </w:r>
      <w:r w:rsidRPr="002A0613">
        <w:rPr>
          <w:rFonts w:ascii="Cambria" w:hAnsi="Cambria"/>
        </w:rPr>
        <w:t xml:space="preserve"> on the extent to which the Bill </w:t>
      </w:r>
      <w:r w:rsidR="00103C8C">
        <w:rPr>
          <w:rFonts w:ascii="Cambria" w:hAnsi="Cambria"/>
        </w:rPr>
        <w:t>fails to address</w:t>
      </w:r>
      <w:r w:rsidRPr="002A0613">
        <w:rPr>
          <w:rFonts w:ascii="Cambria" w:hAnsi="Cambria"/>
        </w:rPr>
        <w:t xml:space="preserve"> the calls for reform </w:t>
      </w:r>
      <w:r w:rsidR="00B612CE" w:rsidRPr="002A0613">
        <w:rPr>
          <w:rFonts w:ascii="Cambria" w:hAnsi="Cambria"/>
        </w:rPr>
        <w:t xml:space="preserve">that </w:t>
      </w:r>
      <w:r w:rsidR="00135802">
        <w:rPr>
          <w:rFonts w:ascii="Cambria" w:hAnsi="Cambria"/>
        </w:rPr>
        <w:t xml:space="preserve">CLD outlined in two </w:t>
      </w:r>
      <w:r w:rsidR="00B612CE" w:rsidRPr="002A0613">
        <w:rPr>
          <w:rFonts w:ascii="Cambria" w:hAnsi="Cambria"/>
        </w:rPr>
        <w:t xml:space="preserve">previous </w:t>
      </w:r>
      <w:r w:rsidR="00135802">
        <w:rPr>
          <w:rFonts w:ascii="Cambria" w:hAnsi="Cambria"/>
        </w:rPr>
        <w:t xml:space="preserve">documents. These are </w:t>
      </w:r>
      <w:r w:rsidR="00B612CE" w:rsidRPr="002A0613">
        <w:rPr>
          <w:rFonts w:ascii="Cambria" w:hAnsi="Cambria"/>
          <w:i/>
        </w:rPr>
        <w:t>Canada: Recommendations for Reforming Canada’s Access to Information Act</w:t>
      </w:r>
      <w:r w:rsidR="004657B1" w:rsidRPr="002A0613">
        <w:rPr>
          <w:rFonts w:ascii="Cambria" w:hAnsi="Cambria"/>
        </w:rPr>
        <w:t>,</w:t>
      </w:r>
      <w:r w:rsidR="00B612CE" w:rsidRPr="002A0613">
        <w:rPr>
          <w:rStyle w:val="FootnoteReference"/>
          <w:rFonts w:ascii="Cambria" w:hAnsi="Cambria"/>
        </w:rPr>
        <w:footnoteReference w:id="15"/>
      </w:r>
      <w:r w:rsidR="00B81569">
        <w:rPr>
          <w:rFonts w:ascii="Cambria" w:hAnsi="Cambria"/>
        </w:rPr>
        <w:t xml:space="preserve"> which set</w:t>
      </w:r>
      <w:r w:rsidR="00135802">
        <w:rPr>
          <w:rFonts w:ascii="Cambria" w:hAnsi="Cambria"/>
        </w:rPr>
        <w:t xml:space="preserve"> out our expectations at the beginning of the reform process,</w:t>
      </w:r>
      <w:r w:rsidR="004657B1" w:rsidRPr="002A0613">
        <w:rPr>
          <w:rFonts w:ascii="Cambria" w:hAnsi="Cambria"/>
        </w:rPr>
        <w:t xml:space="preserve"> and </w:t>
      </w:r>
      <w:r w:rsidR="004657B1" w:rsidRPr="002A0613">
        <w:rPr>
          <w:rFonts w:ascii="Cambria" w:hAnsi="Cambria"/>
          <w:i/>
        </w:rPr>
        <w:t>Canada: Note on Bill C-58 Amending the Access to Information Act</w:t>
      </w:r>
      <w:r w:rsidR="00135802">
        <w:rPr>
          <w:rFonts w:ascii="Cambria" w:hAnsi="Cambria"/>
        </w:rPr>
        <w:t>,</w:t>
      </w:r>
      <w:r w:rsidR="00135802" w:rsidRPr="00135802">
        <w:rPr>
          <w:rStyle w:val="FootnoteReference"/>
          <w:rFonts w:ascii="Cambria" w:hAnsi="Cambria"/>
        </w:rPr>
        <w:footnoteReference w:id="16"/>
      </w:r>
      <w:r w:rsidR="00B81569">
        <w:rPr>
          <w:rFonts w:ascii="Cambria" w:hAnsi="Cambria"/>
        </w:rPr>
        <w:t xml:space="preserve"> which critiqued</w:t>
      </w:r>
      <w:r w:rsidR="00135802">
        <w:rPr>
          <w:rFonts w:ascii="Cambria" w:hAnsi="Cambria"/>
        </w:rPr>
        <w:t xml:space="preserve"> the </w:t>
      </w:r>
      <w:r w:rsidR="00103C8C">
        <w:rPr>
          <w:rFonts w:ascii="Cambria" w:hAnsi="Cambria"/>
        </w:rPr>
        <w:t xml:space="preserve">June 2017 </w:t>
      </w:r>
      <w:r w:rsidR="00135802">
        <w:rPr>
          <w:rFonts w:ascii="Cambria" w:hAnsi="Cambria"/>
        </w:rPr>
        <w:t>version of the Bill.</w:t>
      </w:r>
      <w:r w:rsidR="004657B1" w:rsidRPr="00135802">
        <w:rPr>
          <w:rFonts w:ascii="Cambria" w:hAnsi="Cambria"/>
        </w:rPr>
        <w:t xml:space="preserve"> </w:t>
      </w:r>
    </w:p>
    <w:p w:rsidR="007F59C2" w:rsidRPr="002A0613" w:rsidRDefault="007F59C2" w:rsidP="00FF5CAD">
      <w:pPr>
        <w:jc w:val="both"/>
        <w:rPr>
          <w:rFonts w:ascii="Cambria" w:hAnsi="Cambria"/>
        </w:rPr>
      </w:pPr>
    </w:p>
    <w:p w:rsidR="00331973" w:rsidRPr="007A21F9" w:rsidRDefault="00331973" w:rsidP="007A21F9">
      <w:pPr>
        <w:pStyle w:val="Heading1"/>
        <w:rPr>
          <w:rFonts w:asciiTheme="minorHAnsi" w:hAnsiTheme="minorHAnsi"/>
          <w:sz w:val="28"/>
        </w:rPr>
      </w:pPr>
      <w:r w:rsidRPr="007A21F9">
        <w:rPr>
          <w:rFonts w:asciiTheme="minorHAnsi" w:hAnsiTheme="minorHAnsi"/>
          <w:sz w:val="28"/>
        </w:rPr>
        <w:t xml:space="preserve">Scope </w:t>
      </w:r>
    </w:p>
    <w:p w:rsidR="004657B1" w:rsidRPr="00F05617" w:rsidRDefault="0080731D" w:rsidP="00A3414E">
      <w:pPr>
        <w:jc w:val="both"/>
        <w:rPr>
          <w:rFonts w:ascii="Cambria" w:hAnsi="Cambria"/>
        </w:rPr>
      </w:pPr>
      <w:r w:rsidRPr="00F05617">
        <w:rPr>
          <w:rFonts w:ascii="Cambria" w:hAnsi="Cambria"/>
        </w:rPr>
        <w:t xml:space="preserve">One of the </w:t>
      </w:r>
      <w:r w:rsidR="004657B1" w:rsidRPr="00F05617">
        <w:rPr>
          <w:rFonts w:ascii="Cambria" w:hAnsi="Cambria"/>
        </w:rPr>
        <w:t xml:space="preserve">most </w:t>
      </w:r>
      <w:r w:rsidRPr="00F05617">
        <w:rPr>
          <w:rFonts w:ascii="Cambria" w:hAnsi="Cambria"/>
        </w:rPr>
        <w:t>serious problems with the ATIA</w:t>
      </w:r>
      <w:r w:rsidR="004657B1" w:rsidRPr="00F05617">
        <w:rPr>
          <w:rFonts w:ascii="Cambria" w:hAnsi="Cambria"/>
        </w:rPr>
        <w:t xml:space="preserve"> is its narrow applicability</w:t>
      </w:r>
      <w:r w:rsidR="0018159B">
        <w:rPr>
          <w:rFonts w:ascii="Cambria" w:hAnsi="Cambria"/>
        </w:rPr>
        <w:t xml:space="preserve"> in terms of the public authorities it covers</w:t>
      </w:r>
      <w:r w:rsidR="004657B1" w:rsidRPr="00F05617">
        <w:rPr>
          <w:rFonts w:ascii="Cambria" w:hAnsi="Cambria"/>
        </w:rPr>
        <w:t xml:space="preserve">. </w:t>
      </w:r>
      <w:r w:rsidRPr="00F05617">
        <w:rPr>
          <w:rFonts w:ascii="Cambria" w:hAnsi="Cambria"/>
        </w:rPr>
        <w:t>Under international law</w:t>
      </w:r>
      <w:r w:rsidR="005C0207" w:rsidRPr="00F05617">
        <w:rPr>
          <w:rFonts w:ascii="Cambria" w:hAnsi="Cambria"/>
        </w:rPr>
        <w:t>,</w:t>
      </w:r>
      <w:r w:rsidR="004657B1" w:rsidRPr="00F05617">
        <w:rPr>
          <w:rFonts w:ascii="Cambria" w:hAnsi="Cambria"/>
        </w:rPr>
        <w:t xml:space="preserve"> </w:t>
      </w:r>
      <w:r w:rsidRPr="00F05617">
        <w:rPr>
          <w:rFonts w:ascii="Cambria" w:hAnsi="Cambria"/>
        </w:rPr>
        <w:t xml:space="preserve">openness obligations </w:t>
      </w:r>
      <w:r w:rsidR="004657B1" w:rsidRPr="00F05617">
        <w:rPr>
          <w:rFonts w:ascii="Cambria" w:hAnsi="Cambria"/>
        </w:rPr>
        <w:t>apply</w:t>
      </w:r>
      <w:r w:rsidRPr="00F05617">
        <w:rPr>
          <w:rFonts w:ascii="Cambria" w:hAnsi="Cambria"/>
        </w:rPr>
        <w:t xml:space="preserve"> to all information held by all authorities which engage the responsibility of the State. </w:t>
      </w:r>
      <w:r w:rsidR="004657B1" w:rsidRPr="00F05617">
        <w:rPr>
          <w:rFonts w:ascii="Cambria" w:hAnsi="Cambria"/>
        </w:rPr>
        <w:t xml:space="preserve">In other </w:t>
      </w:r>
      <w:r w:rsidR="004657B1" w:rsidRPr="00F05617">
        <w:rPr>
          <w:rFonts w:ascii="Cambria" w:hAnsi="Cambria"/>
        </w:rPr>
        <w:lastRenderedPageBreak/>
        <w:t xml:space="preserve">words, </w:t>
      </w:r>
      <w:r w:rsidRPr="00F05617">
        <w:rPr>
          <w:rFonts w:ascii="Cambria" w:hAnsi="Cambria"/>
        </w:rPr>
        <w:t>all information held by the executive, legislative and judicial branches of government</w:t>
      </w:r>
      <w:r w:rsidR="004657B1" w:rsidRPr="00F05617">
        <w:rPr>
          <w:rFonts w:ascii="Cambria" w:hAnsi="Cambria"/>
        </w:rPr>
        <w:t xml:space="preserve">, </w:t>
      </w:r>
      <w:r w:rsidRPr="00F05617">
        <w:rPr>
          <w:rFonts w:ascii="Cambria" w:hAnsi="Cambria"/>
        </w:rPr>
        <w:t xml:space="preserve">constitutional, statutory and oversight bodies, </w:t>
      </w:r>
      <w:r w:rsidR="004657B1" w:rsidRPr="00F05617">
        <w:rPr>
          <w:rFonts w:ascii="Cambria" w:hAnsi="Cambria"/>
        </w:rPr>
        <w:t xml:space="preserve">crown corporations, </w:t>
      </w:r>
      <w:r w:rsidRPr="00F05617">
        <w:rPr>
          <w:rFonts w:ascii="Cambria" w:hAnsi="Cambria"/>
        </w:rPr>
        <w:t xml:space="preserve">and any </w:t>
      </w:r>
      <w:r w:rsidR="004657B1" w:rsidRPr="00F05617">
        <w:rPr>
          <w:rFonts w:ascii="Cambria" w:hAnsi="Cambria"/>
        </w:rPr>
        <w:t>entity</w:t>
      </w:r>
      <w:r w:rsidRPr="00F05617">
        <w:rPr>
          <w:rFonts w:ascii="Cambria" w:hAnsi="Cambria"/>
        </w:rPr>
        <w:t xml:space="preserve"> </w:t>
      </w:r>
      <w:r w:rsidR="004657B1" w:rsidRPr="00F05617">
        <w:rPr>
          <w:rFonts w:ascii="Cambria" w:hAnsi="Cambria"/>
        </w:rPr>
        <w:t>that</w:t>
      </w:r>
      <w:r w:rsidRPr="00F05617">
        <w:rPr>
          <w:rFonts w:ascii="Cambria" w:hAnsi="Cambria"/>
        </w:rPr>
        <w:t xml:space="preserve"> is owned, controlled or substantially funded by a public authority or which performs a statutory or public function</w:t>
      </w:r>
      <w:r w:rsidR="004657B1" w:rsidRPr="00F05617">
        <w:rPr>
          <w:rFonts w:ascii="Cambria" w:hAnsi="Cambria"/>
        </w:rPr>
        <w:t xml:space="preserve"> should be </w:t>
      </w:r>
      <w:r w:rsidR="0018159B">
        <w:rPr>
          <w:rFonts w:ascii="Cambria" w:hAnsi="Cambria"/>
        </w:rPr>
        <w:t>covered by both the proactive and request processing regimes in the Act</w:t>
      </w:r>
      <w:r w:rsidR="00323478" w:rsidRPr="00F05617">
        <w:rPr>
          <w:rFonts w:ascii="Cambria" w:hAnsi="Cambria"/>
        </w:rPr>
        <w:t xml:space="preserve">. </w:t>
      </w:r>
    </w:p>
    <w:p w:rsidR="004657B1" w:rsidRPr="00F05617" w:rsidRDefault="004657B1" w:rsidP="00A3414E">
      <w:pPr>
        <w:jc w:val="both"/>
        <w:rPr>
          <w:rFonts w:ascii="Cambria" w:hAnsi="Cambria"/>
        </w:rPr>
      </w:pPr>
    </w:p>
    <w:p w:rsidR="00E23600" w:rsidRPr="00F05617" w:rsidRDefault="00323478" w:rsidP="00A3414E">
      <w:pPr>
        <w:jc w:val="both"/>
        <w:rPr>
          <w:rFonts w:ascii="Cambria" w:hAnsi="Cambria"/>
        </w:rPr>
      </w:pPr>
      <w:r w:rsidRPr="00F05617">
        <w:rPr>
          <w:rFonts w:ascii="Cambria" w:hAnsi="Cambria"/>
        </w:rPr>
        <w:t>Canada’s ATIA</w:t>
      </w:r>
      <w:r w:rsidR="0080731D" w:rsidRPr="00F05617">
        <w:rPr>
          <w:rFonts w:ascii="Cambria" w:hAnsi="Cambria"/>
        </w:rPr>
        <w:t xml:space="preserve"> does not apply to key types of public authorities</w:t>
      </w:r>
      <w:r w:rsidR="00FF487C">
        <w:rPr>
          <w:rFonts w:ascii="Cambria" w:hAnsi="Cambria"/>
        </w:rPr>
        <w:t>.</w:t>
      </w:r>
      <w:r w:rsidRPr="00F05617">
        <w:rPr>
          <w:rFonts w:ascii="Cambria" w:hAnsi="Cambria"/>
        </w:rPr>
        <w:t xml:space="preserve"> </w:t>
      </w:r>
      <w:r w:rsidR="00C36EEE">
        <w:rPr>
          <w:rFonts w:ascii="Cambria" w:hAnsi="Cambria"/>
        </w:rPr>
        <w:t xml:space="preserve">On </w:t>
      </w:r>
      <w:r w:rsidR="00C36EEE" w:rsidRPr="00C36EEE">
        <w:rPr>
          <w:rFonts w:ascii="Cambria" w:hAnsi="Cambria"/>
        </w:rPr>
        <w:t>16 June 2016</w:t>
      </w:r>
      <w:r w:rsidR="00C36EEE">
        <w:rPr>
          <w:rFonts w:ascii="Cambria" w:hAnsi="Cambria"/>
        </w:rPr>
        <w:t>,</w:t>
      </w:r>
      <w:r w:rsidR="00C36EEE" w:rsidRPr="00C36EEE">
        <w:rPr>
          <w:rFonts w:ascii="Cambria" w:hAnsi="Cambria"/>
        </w:rPr>
        <w:t xml:space="preserve"> the Parliamentary Standing Committee on Access to Information, Privacy and Ethics </w:t>
      </w:r>
      <w:r w:rsidR="00A41D69">
        <w:rPr>
          <w:rFonts w:ascii="Cambria" w:hAnsi="Cambria"/>
        </w:rPr>
        <w:t>produced a r</w:t>
      </w:r>
      <w:r w:rsidR="00C36EEE">
        <w:rPr>
          <w:rFonts w:ascii="Cambria" w:hAnsi="Cambria"/>
        </w:rPr>
        <w:t xml:space="preserve">eport </w:t>
      </w:r>
      <w:r w:rsidR="00A41D69">
        <w:rPr>
          <w:rFonts w:ascii="Cambria" w:hAnsi="Cambria"/>
        </w:rPr>
        <w:t xml:space="preserve">titled </w:t>
      </w:r>
      <w:r w:rsidR="00A41D69" w:rsidRPr="00A41D69">
        <w:rPr>
          <w:rFonts w:ascii="Cambria" w:hAnsi="Cambria"/>
          <w:i/>
        </w:rPr>
        <w:t>Review of the Access to Information Act</w:t>
      </w:r>
      <w:r w:rsidR="00A41D69">
        <w:rPr>
          <w:rFonts w:ascii="Cambria" w:hAnsi="Cambria"/>
        </w:rPr>
        <w:t xml:space="preserve"> </w:t>
      </w:r>
      <w:r w:rsidR="00C36EEE" w:rsidRPr="00C36EEE">
        <w:rPr>
          <w:rFonts w:ascii="Cambria" w:hAnsi="Cambria"/>
        </w:rPr>
        <w:t>(ETHI Committee</w:t>
      </w:r>
      <w:r w:rsidR="00A41D69">
        <w:rPr>
          <w:rFonts w:ascii="Cambria" w:hAnsi="Cambria"/>
        </w:rPr>
        <w:t xml:space="preserve"> Report</w:t>
      </w:r>
      <w:r w:rsidR="00C36EEE" w:rsidRPr="00C36EEE">
        <w:rPr>
          <w:rFonts w:ascii="Cambria" w:hAnsi="Cambria"/>
        </w:rPr>
        <w:t>)</w:t>
      </w:r>
      <w:r w:rsidR="00A41D69">
        <w:rPr>
          <w:rFonts w:ascii="Cambria" w:hAnsi="Cambria"/>
        </w:rPr>
        <w:t>.</w:t>
      </w:r>
      <w:bookmarkStart w:id="3" w:name="_Ref379465807"/>
      <w:r w:rsidR="00C36EEE" w:rsidRPr="00C36EEE">
        <w:rPr>
          <w:rStyle w:val="FootnoteReference"/>
          <w:rFonts w:ascii="Cambria" w:hAnsi="Cambria"/>
        </w:rPr>
        <w:footnoteReference w:id="17"/>
      </w:r>
      <w:bookmarkEnd w:id="3"/>
      <w:r w:rsidR="00A41D69">
        <w:rPr>
          <w:rFonts w:ascii="Cambria" w:hAnsi="Cambria"/>
        </w:rPr>
        <w:t xml:space="preserve"> Recommendation 1 of that Report</w:t>
      </w:r>
      <w:r w:rsidR="00162F1C" w:rsidRPr="00F05617">
        <w:rPr>
          <w:rFonts w:ascii="Cambria" w:hAnsi="Cambria"/>
        </w:rPr>
        <w:t xml:space="preserve"> </w:t>
      </w:r>
      <w:r w:rsidR="00A41D69">
        <w:rPr>
          <w:rFonts w:ascii="Cambria" w:hAnsi="Cambria"/>
        </w:rPr>
        <w:t xml:space="preserve">calls for </w:t>
      </w:r>
      <w:r w:rsidR="00162F1C" w:rsidRPr="00F05617">
        <w:rPr>
          <w:rFonts w:ascii="Cambria" w:hAnsi="Cambria"/>
        </w:rPr>
        <w:t xml:space="preserve">the ambit of the Act </w:t>
      </w:r>
      <w:r w:rsidR="00A41D69">
        <w:rPr>
          <w:rFonts w:ascii="Cambria" w:hAnsi="Cambria"/>
        </w:rPr>
        <w:t xml:space="preserve">to </w:t>
      </w:r>
      <w:r w:rsidR="00162F1C" w:rsidRPr="00F05617">
        <w:rPr>
          <w:rFonts w:ascii="Cambria" w:hAnsi="Cambria"/>
        </w:rPr>
        <w:t xml:space="preserve">be expanded </w:t>
      </w:r>
      <w:r w:rsidR="00A41D69" w:rsidRPr="00F05617">
        <w:rPr>
          <w:rFonts w:ascii="Cambria" w:hAnsi="Cambria"/>
        </w:rPr>
        <w:t xml:space="preserve">in the first phase </w:t>
      </w:r>
      <w:r w:rsidR="00162F1C" w:rsidRPr="00F05617">
        <w:rPr>
          <w:rFonts w:ascii="Cambria" w:hAnsi="Cambria"/>
        </w:rPr>
        <w:t xml:space="preserve">to include </w:t>
      </w:r>
      <w:proofErr w:type="spellStart"/>
      <w:r w:rsidR="003A29B4" w:rsidRPr="00F05617">
        <w:rPr>
          <w:rFonts w:ascii="Cambria" w:hAnsi="Cambria"/>
        </w:rPr>
        <w:t>any</w:t>
      </w:r>
      <w:r w:rsidR="003A29B4">
        <w:rPr>
          <w:rFonts w:ascii="Cambria" w:hAnsi="Cambria"/>
        </w:rPr>
        <w:t xml:space="preserve"> </w:t>
      </w:r>
      <w:r w:rsidR="003A29B4" w:rsidRPr="00F05617">
        <w:rPr>
          <w:rFonts w:ascii="Cambria" w:hAnsi="Cambria"/>
        </w:rPr>
        <w:t>body</w:t>
      </w:r>
      <w:proofErr w:type="spellEnd"/>
      <w:r w:rsidR="00162F1C" w:rsidRPr="00F05617">
        <w:rPr>
          <w:rFonts w:ascii="Cambria" w:hAnsi="Cambria"/>
        </w:rPr>
        <w:t xml:space="preserve"> which is controlled in</w:t>
      </w:r>
      <w:r w:rsidRPr="00F05617">
        <w:rPr>
          <w:rFonts w:ascii="Cambria" w:hAnsi="Cambria"/>
        </w:rPr>
        <w:t xml:space="preserve"> </w:t>
      </w:r>
      <w:r w:rsidR="00162F1C" w:rsidRPr="00F05617">
        <w:rPr>
          <w:rFonts w:ascii="Cambria" w:hAnsi="Cambria"/>
        </w:rPr>
        <w:t>whole or in part by the government, which performs a public function, which is</w:t>
      </w:r>
      <w:r w:rsidRPr="00F05617">
        <w:rPr>
          <w:rFonts w:ascii="Cambria" w:hAnsi="Cambria"/>
        </w:rPr>
        <w:t xml:space="preserve"> </w:t>
      </w:r>
      <w:r w:rsidR="00162F1C" w:rsidRPr="00F05617">
        <w:rPr>
          <w:rFonts w:ascii="Cambria" w:hAnsi="Cambria"/>
        </w:rPr>
        <w:t>created by statute, or which is covered by the Financial Administration Act.</w:t>
      </w:r>
      <w:r w:rsidRPr="00F05617">
        <w:rPr>
          <w:rFonts w:ascii="Cambria" w:hAnsi="Cambria"/>
        </w:rPr>
        <w:t xml:space="preserve"> The </w:t>
      </w:r>
      <w:r w:rsidR="00A41D69">
        <w:rPr>
          <w:rFonts w:ascii="Cambria" w:hAnsi="Cambria"/>
        </w:rPr>
        <w:t>Report</w:t>
      </w:r>
      <w:r w:rsidRPr="00F05617">
        <w:rPr>
          <w:rFonts w:ascii="Cambria" w:hAnsi="Cambria"/>
        </w:rPr>
        <w:t xml:space="preserve"> also recommended that </w:t>
      </w:r>
      <w:r w:rsidR="00E23600" w:rsidRPr="00F05617">
        <w:rPr>
          <w:rFonts w:ascii="Cambria" w:hAnsi="Cambria"/>
        </w:rPr>
        <w:t>court files, the records a</w:t>
      </w:r>
      <w:r w:rsidR="00A41D69">
        <w:rPr>
          <w:rFonts w:ascii="Cambria" w:hAnsi="Cambria"/>
        </w:rPr>
        <w:t>nd personal notes of judges</w:t>
      </w:r>
      <w:r w:rsidR="00E23600" w:rsidRPr="00F05617">
        <w:rPr>
          <w:rFonts w:ascii="Cambria" w:hAnsi="Cambria"/>
        </w:rPr>
        <w:t xml:space="preserve"> and</w:t>
      </w:r>
      <w:r w:rsidRPr="00F05617">
        <w:rPr>
          <w:rFonts w:ascii="Cambria" w:hAnsi="Cambria"/>
        </w:rPr>
        <w:t xml:space="preserve"> the </w:t>
      </w:r>
      <w:r w:rsidR="00E23600" w:rsidRPr="00F05617">
        <w:rPr>
          <w:rFonts w:ascii="Cambria" w:hAnsi="Cambria"/>
        </w:rPr>
        <w:t>communications or draft decisions prepared by or for persons acting in a judicial or</w:t>
      </w:r>
      <w:r w:rsidRPr="00F05617">
        <w:rPr>
          <w:rFonts w:ascii="Cambria" w:hAnsi="Cambria"/>
        </w:rPr>
        <w:t xml:space="preserve"> </w:t>
      </w:r>
      <w:r w:rsidR="00E23600" w:rsidRPr="00F05617">
        <w:rPr>
          <w:rFonts w:ascii="Cambria" w:hAnsi="Cambria"/>
        </w:rPr>
        <w:t>quasi-judicial capacity</w:t>
      </w:r>
      <w:r w:rsidR="00A41D69">
        <w:rPr>
          <w:rFonts w:ascii="Cambria" w:hAnsi="Cambria"/>
        </w:rPr>
        <w:t xml:space="preserve"> be excluded from the ambit of the Act</w:t>
      </w:r>
      <w:r w:rsidR="00E23600" w:rsidRPr="00F05617">
        <w:rPr>
          <w:rFonts w:ascii="Cambria" w:hAnsi="Cambria"/>
        </w:rPr>
        <w:t xml:space="preserve">. </w:t>
      </w:r>
      <w:r w:rsidR="00A41D69">
        <w:rPr>
          <w:rFonts w:ascii="Cambria" w:hAnsi="Cambria"/>
        </w:rPr>
        <w:t xml:space="preserve">CLD recognises that much of this </w:t>
      </w:r>
      <w:r w:rsidRPr="00F05617">
        <w:rPr>
          <w:rFonts w:ascii="Cambria" w:hAnsi="Cambria"/>
        </w:rPr>
        <w:t>information</w:t>
      </w:r>
      <w:r w:rsidR="00E23600" w:rsidRPr="00F05617">
        <w:rPr>
          <w:rFonts w:ascii="Cambria" w:hAnsi="Cambria"/>
        </w:rPr>
        <w:t xml:space="preserve"> </w:t>
      </w:r>
      <w:r w:rsidR="00A41D69">
        <w:rPr>
          <w:rFonts w:ascii="Cambria" w:hAnsi="Cambria"/>
        </w:rPr>
        <w:t xml:space="preserve">will </w:t>
      </w:r>
      <w:r w:rsidR="00E23600" w:rsidRPr="00F05617">
        <w:rPr>
          <w:rFonts w:ascii="Cambria" w:hAnsi="Cambria"/>
        </w:rPr>
        <w:t>be</w:t>
      </w:r>
      <w:r w:rsidRPr="00F05617">
        <w:rPr>
          <w:rFonts w:ascii="Cambria" w:hAnsi="Cambria"/>
        </w:rPr>
        <w:t xml:space="preserve"> </w:t>
      </w:r>
      <w:r w:rsidR="00E23600" w:rsidRPr="00F05617">
        <w:rPr>
          <w:rFonts w:ascii="Cambria" w:hAnsi="Cambria"/>
        </w:rPr>
        <w:t>exempt</w:t>
      </w:r>
      <w:r w:rsidR="00A41D69">
        <w:rPr>
          <w:rFonts w:ascii="Cambria" w:hAnsi="Cambria"/>
        </w:rPr>
        <w:t xml:space="preserve">. However, as discussed below, it is far preferable presumptively to cover all of the information held by all public authorities, and then to protect legitimate interests </w:t>
      </w:r>
      <w:r w:rsidR="00933C29">
        <w:rPr>
          <w:rFonts w:ascii="Cambria" w:hAnsi="Cambria"/>
        </w:rPr>
        <w:t xml:space="preserve">such as </w:t>
      </w:r>
      <w:r w:rsidR="00E23600" w:rsidRPr="00F05617">
        <w:rPr>
          <w:rFonts w:ascii="Cambria" w:hAnsi="Cambria"/>
        </w:rPr>
        <w:t>the integrity of the judicial process</w:t>
      </w:r>
      <w:r w:rsidR="00A41D69">
        <w:rPr>
          <w:rFonts w:ascii="Cambria" w:hAnsi="Cambria"/>
        </w:rPr>
        <w:t xml:space="preserve"> and administration of justice through </w:t>
      </w:r>
      <w:r w:rsidR="00A41D69" w:rsidRPr="00F05617">
        <w:rPr>
          <w:rFonts w:ascii="Cambria" w:hAnsi="Cambria"/>
        </w:rPr>
        <w:t>harm-tested exception</w:t>
      </w:r>
      <w:r w:rsidR="00A41D69">
        <w:rPr>
          <w:rFonts w:ascii="Cambria" w:hAnsi="Cambria"/>
        </w:rPr>
        <w:t>s</w:t>
      </w:r>
      <w:r w:rsidR="00E23600" w:rsidRPr="00F05617">
        <w:rPr>
          <w:rFonts w:ascii="Cambria" w:hAnsi="Cambria"/>
        </w:rPr>
        <w:t xml:space="preserve"> </w:t>
      </w:r>
      <w:r w:rsidR="00A41D69">
        <w:rPr>
          <w:rFonts w:ascii="Cambria" w:hAnsi="Cambria"/>
        </w:rPr>
        <w:t>(</w:t>
      </w:r>
      <w:r w:rsidR="00E23600" w:rsidRPr="00F05617">
        <w:rPr>
          <w:rFonts w:ascii="Cambria" w:hAnsi="Cambria"/>
        </w:rPr>
        <w:t xml:space="preserve">rather than </w:t>
      </w:r>
      <w:r w:rsidRPr="00F05617">
        <w:rPr>
          <w:rFonts w:ascii="Cambria" w:hAnsi="Cambria"/>
        </w:rPr>
        <w:t xml:space="preserve">as </w:t>
      </w:r>
      <w:r w:rsidR="00E23600" w:rsidRPr="00F05617">
        <w:rPr>
          <w:rFonts w:ascii="Cambria" w:hAnsi="Cambria"/>
        </w:rPr>
        <w:t>class exclusions</w:t>
      </w:r>
      <w:r w:rsidR="00A41D69">
        <w:rPr>
          <w:rFonts w:ascii="Cambria" w:hAnsi="Cambria"/>
        </w:rPr>
        <w:t>)</w:t>
      </w:r>
      <w:r w:rsidR="00E23600" w:rsidRPr="00F05617">
        <w:rPr>
          <w:rFonts w:ascii="Cambria" w:hAnsi="Cambria"/>
        </w:rPr>
        <w:t>.</w:t>
      </w:r>
    </w:p>
    <w:p w:rsidR="00E90E7C" w:rsidRPr="00F05617" w:rsidRDefault="00E90E7C" w:rsidP="00A3414E">
      <w:pPr>
        <w:jc w:val="both"/>
        <w:rPr>
          <w:rFonts w:ascii="Cambria" w:hAnsi="Cambria"/>
        </w:rPr>
      </w:pPr>
    </w:p>
    <w:p w:rsidR="00234EE0" w:rsidRPr="00F05617" w:rsidRDefault="00DC160D" w:rsidP="00A3414E">
      <w:pPr>
        <w:jc w:val="both"/>
        <w:rPr>
          <w:rFonts w:ascii="Cambria" w:hAnsi="Cambria"/>
        </w:rPr>
      </w:pPr>
      <w:r w:rsidRPr="00F05617">
        <w:rPr>
          <w:rFonts w:ascii="Cambria" w:hAnsi="Cambria"/>
        </w:rPr>
        <w:t>Instead of keeping its promise</w:t>
      </w:r>
      <w:r w:rsidR="00687D2C">
        <w:rPr>
          <w:rFonts w:ascii="Cambria" w:hAnsi="Cambria"/>
        </w:rPr>
        <w:t xml:space="preserve"> to bring </w:t>
      </w:r>
      <w:r w:rsidR="00933C29" w:rsidRPr="002A0613">
        <w:rPr>
          <w:rFonts w:ascii="Cambria" w:hAnsi="Cambria"/>
        </w:rPr>
        <w:t>the offices of the Prime Minister and Ministers and the administra</w:t>
      </w:r>
      <w:r w:rsidR="00933C29">
        <w:rPr>
          <w:rFonts w:ascii="Cambria" w:hAnsi="Cambria"/>
        </w:rPr>
        <w:t>tive institutions that support P</w:t>
      </w:r>
      <w:r w:rsidR="00933C29" w:rsidRPr="002A0613">
        <w:rPr>
          <w:rFonts w:ascii="Cambria" w:hAnsi="Cambria"/>
        </w:rPr>
        <w:t>arliament and the courts</w:t>
      </w:r>
      <w:r w:rsidR="00933C29">
        <w:rPr>
          <w:rFonts w:ascii="Cambria" w:hAnsi="Cambria"/>
        </w:rPr>
        <w:t xml:space="preserve"> </w:t>
      </w:r>
      <w:r w:rsidR="00687D2C">
        <w:rPr>
          <w:rFonts w:ascii="Cambria" w:hAnsi="Cambria"/>
        </w:rPr>
        <w:t xml:space="preserve">within the scope of the ATIA, </w:t>
      </w:r>
      <w:r w:rsidRPr="00F05617">
        <w:rPr>
          <w:rFonts w:ascii="Cambria" w:hAnsi="Cambria"/>
        </w:rPr>
        <w:t>Bill</w:t>
      </w:r>
      <w:r w:rsidR="00687D2C">
        <w:rPr>
          <w:rFonts w:ascii="Cambria" w:hAnsi="Cambria"/>
        </w:rPr>
        <w:t xml:space="preserve"> C-58 merely codifies</w:t>
      </w:r>
      <w:r w:rsidRPr="00F05617">
        <w:rPr>
          <w:rFonts w:ascii="Cambria" w:hAnsi="Cambria"/>
        </w:rPr>
        <w:t xml:space="preserve"> a system of proactive disclosure </w:t>
      </w:r>
      <w:r w:rsidR="00687D2C">
        <w:rPr>
          <w:rFonts w:ascii="Cambria" w:hAnsi="Cambria"/>
        </w:rPr>
        <w:t xml:space="preserve">for these bodies </w:t>
      </w:r>
      <w:r w:rsidRPr="00F05617">
        <w:rPr>
          <w:rFonts w:ascii="Cambria" w:hAnsi="Cambria"/>
        </w:rPr>
        <w:t xml:space="preserve">that already </w:t>
      </w:r>
      <w:r w:rsidR="00687D2C">
        <w:rPr>
          <w:rFonts w:ascii="Cambria" w:hAnsi="Cambria"/>
        </w:rPr>
        <w:t xml:space="preserve">largely </w:t>
      </w:r>
      <w:r w:rsidRPr="00F05617">
        <w:rPr>
          <w:rFonts w:ascii="Cambria" w:hAnsi="Cambria"/>
        </w:rPr>
        <w:t>exists in practice. Proactive publication obligations are an important part of any RTI regime</w:t>
      </w:r>
      <w:r w:rsidR="00933C29">
        <w:rPr>
          <w:rFonts w:ascii="Cambria" w:hAnsi="Cambria"/>
        </w:rPr>
        <w:t>, as this helps</w:t>
      </w:r>
      <w:r w:rsidRPr="00F05617">
        <w:rPr>
          <w:rFonts w:ascii="Cambria" w:hAnsi="Cambria"/>
        </w:rPr>
        <w:t xml:space="preserve"> </w:t>
      </w:r>
      <w:r w:rsidR="00E90E7C" w:rsidRPr="00F05617">
        <w:rPr>
          <w:rFonts w:ascii="Cambria" w:hAnsi="Cambria"/>
        </w:rPr>
        <w:t>ensure access to at least a minimum common platform of infor</w:t>
      </w:r>
      <w:r w:rsidRPr="00F05617">
        <w:rPr>
          <w:rFonts w:ascii="Cambria" w:hAnsi="Cambria"/>
        </w:rPr>
        <w:t xml:space="preserve">mation from public authorities for all. However, </w:t>
      </w:r>
      <w:r w:rsidR="00E90E7C" w:rsidRPr="00F05617">
        <w:rPr>
          <w:rFonts w:ascii="Cambria" w:hAnsi="Cambria"/>
        </w:rPr>
        <w:t xml:space="preserve">the </w:t>
      </w:r>
      <w:r w:rsidRPr="00F05617">
        <w:rPr>
          <w:rFonts w:ascii="Cambria" w:hAnsi="Cambria"/>
        </w:rPr>
        <w:t>essence</w:t>
      </w:r>
      <w:r w:rsidR="00E90E7C" w:rsidRPr="00F05617">
        <w:rPr>
          <w:rFonts w:ascii="Cambria" w:hAnsi="Cambria"/>
        </w:rPr>
        <w:t xml:space="preserve"> of a right to information system, and </w:t>
      </w:r>
      <w:r w:rsidR="00933C29">
        <w:rPr>
          <w:rFonts w:ascii="Cambria" w:hAnsi="Cambria"/>
        </w:rPr>
        <w:t xml:space="preserve">of </w:t>
      </w:r>
      <w:r w:rsidR="00E90E7C" w:rsidRPr="00F05617">
        <w:rPr>
          <w:rFonts w:ascii="Cambria" w:hAnsi="Cambria"/>
        </w:rPr>
        <w:t xml:space="preserve">any claim to be </w:t>
      </w:r>
      <w:r w:rsidR="00687D2C">
        <w:rPr>
          <w:rFonts w:ascii="Cambria" w:hAnsi="Cambria"/>
        </w:rPr>
        <w:t>“</w:t>
      </w:r>
      <w:r w:rsidR="00FF5CAD" w:rsidRPr="00F05617">
        <w:rPr>
          <w:rFonts w:ascii="Cambria" w:hAnsi="Cambria"/>
        </w:rPr>
        <w:t>open by default</w:t>
      </w:r>
      <w:r w:rsidR="00687D2C">
        <w:rPr>
          <w:rFonts w:ascii="Cambria" w:hAnsi="Cambria"/>
        </w:rPr>
        <w:t>”,</w:t>
      </w:r>
      <w:r w:rsidRPr="00F05617">
        <w:rPr>
          <w:rFonts w:ascii="Cambria" w:hAnsi="Cambria"/>
          <w:vertAlign w:val="superscript"/>
        </w:rPr>
        <w:footnoteReference w:id="18"/>
      </w:r>
      <w:r w:rsidR="00E90E7C" w:rsidRPr="00F05617">
        <w:rPr>
          <w:rFonts w:ascii="Cambria" w:hAnsi="Cambria"/>
        </w:rPr>
        <w:t xml:space="preserve"> is the right of individuals to request whatever informa</w:t>
      </w:r>
      <w:r w:rsidRPr="00F05617">
        <w:rPr>
          <w:rFonts w:ascii="Cambria" w:hAnsi="Cambria"/>
        </w:rPr>
        <w:t xml:space="preserve">tion they want from government and not to be restricted to </w:t>
      </w:r>
      <w:r w:rsidR="00933C29">
        <w:rPr>
          <w:rFonts w:ascii="Cambria" w:hAnsi="Cambria"/>
        </w:rPr>
        <w:t xml:space="preserve">accessing </w:t>
      </w:r>
      <w:r w:rsidRPr="00F05617">
        <w:rPr>
          <w:rFonts w:ascii="Cambria" w:hAnsi="Cambria"/>
        </w:rPr>
        <w:t>specific categories of information</w:t>
      </w:r>
      <w:r w:rsidR="00687D2C">
        <w:rPr>
          <w:rFonts w:ascii="Cambria" w:hAnsi="Cambria"/>
        </w:rPr>
        <w:t>, as</w:t>
      </w:r>
      <w:r w:rsidRPr="00F05617">
        <w:rPr>
          <w:rFonts w:ascii="Cambria" w:hAnsi="Cambria"/>
        </w:rPr>
        <w:t xml:space="preserve"> determined by the government. </w:t>
      </w:r>
      <w:r w:rsidR="00A35538" w:rsidRPr="00F05617">
        <w:rPr>
          <w:rFonts w:ascii="Cambria" w:hAnsi="Cambria"/>
        </w:rPr>
        <w:t>The move to formalise the practice of proactive disclosure is welcome</w:t>
      </w:r>
      <w:r w:rsidR="00687D2C">
        <w:rPr>
          <w:rFonts w:ascii="Cambria" w:hAnsi="Cambria"/>
        </w:rPr>
        <w:t>,</w:t>
      </w:r>
      <w:r w:rsidR="00A35538" w:rsidRPr="00F05617">
        <w:rPr>
          <w:rFonts w:ascii="Cambria" w:hAnsi="Cambria"/>
        </w:rPr>
        <w:t xml:space="preserve"> but it </w:t>
      </w:r>
      <w:r w:rsidR="00687D2C">
        <w:rPr>
          <w:rFonts w:ascii="Cambria" w:hAnsi="Cambria"/>
        </w:rPr>
        <w:t xml:space="preserve">signally fails to </w:t>
      </w:r>
      <w:r w:rsidR="00A35538" w:rsidRPr="00F05617">
        <w:rPr>
          <w:rFonts w:ascii="Cambria" w:hAnsi="Cambria"/>
        </w:rPr>
        <w:t>extend the Act</w:t>
      </w:r>
      <w:r w:rsidR="00E90E7C" w:rsidRPr="00F05617">
        <w:rPr>
          <w:rFonts w:ascii="Cambria" w:hAnsi="Cambria"/>
        </w:rPr>
        <w:t xml:space="preserve"> </w:t>
      </w:r>
      <w:r w:rsidR="00A35538" w:rsidRPr="00F05617">
        <w:rPr>
          <w:rFonts w:ascii="Cambria" w:hAnsi="Cambria"/>
        </w:rPr>
        <w:t xml:space="preserve">to </w:t>
      </w:r>
      <w:r w:rsidR="00E90E7C" w:rsidRPr="00F05617">
        <w:rPr>
          <w:rFonts w:ascii="Cambria" w:hAnsi="Cambria"/>
        </w:rPr>
        <w:t>the</w:t>
      </w:r>
      <w:r w:rsidR="00687D2C">
        <w:rPr>
          <w:rFonts w:ascii="Cambria" w:hAnsi="Cambria"/>
        </w:rPr>
        <w:t>se bodies</w:t>
      </w:r>
      <w:r w:rsidR="00E90E7C" w:rsidRPr="00F05617">
        <w:rPr>
          <w:rFonts w:ascii="Cambria" w:hAnsi="Cambria"/>
        </w:rPr>
        <w:t>.</w:t>
      </w:r>
      <w:r w:rsidR="00F05617">
        <w:rPr>
          <w:rFonts w:ascii="Cambria" w:hAnsi="Cambria"/>
        </w:rPr>
        <w:t xml:space="preserve"> </w:t>
      </w:r>
    </w:p>
    <w:p w:rsidR="00A35538" w:rsidRPr="00F05617" w:rsidRDefault="00A35538" w:rsidP="00A3414E">
      <w:pPr>
        <w:jc w:val="both"/>
        <w:rPr>
          <w:rFonts w:ascii="Cambria" w:hAnsi="Cambria"/>
        </w:rPr>
      </w:pPr>
    </w:p>
    <w:p w:rsidR="00216984" w:rsidRPr="00F05617" w:rsidRDefault="00A35538" w:rsidP="00A3414E">
      <w:pPr>
        <w:jc w:val="both"/>
        <w:rPr>
          <w:rFonts w:ascii="Cambria" w:hAnsi="Cambria"/>
        </w:rPr>
      </w:pPr>
      <w:r w:rsidRPr="00F05617">
        <w:rPr>
          <w:rFonts w:ascii="Cambria" w:hAnsi="Cambria"/>
        </w:rPr>
        <w:t>Not only do the ‘new’ proactive disclosure</w:t>
      </w:r>
      <w:r w:rsidR="00687D2C">
        <w:rPr>
          <w:rFonts w:ascii="Cambria" w:hAnsi="Cambria"/>
        </w:rPr>
        <w:t xml:space="preserve"> obligations</w:t>
      </w:r>
      <w:r w:rsidRPr="00F05617">
        <w:rPr>
          <w:rFonts w:ascii="Cambria" w:hAnsi="Cambria"/>
        </w:rPr>
        <w:t xml:space="preserve"> </w:t>
      </w:r>
      <w:r w:rsidR="00687D2C">
        <w:rPr>
          <w:rFonts w:ascii="Cambria" w:hAnsi="Cambria"/>
        </w:rPr>
        <w:t xml:space="preserve">fail </w:t>
      </w:r>
      <w:r w:rsidRPr="00F05617">
        <w:rPr>
          <w:rFonts w:ascii="Cambria" w:hAnsi="Cambria"/>
        </w:rPr>
        <w:t xml:space="preserve">substantively </w:t>
      </w:r>
      <w:r w:rsidR="00687D2C">
        <w:rPr>
          <w:rFonts w:ascii="Cambria" w:hAnsi="Cambria"/>
        </w:rPr>
        <w:t>to expand</w:t>
      </w:r>
      <w:r w:rsidRPr="00F05617">
        <w:rPr>
          <w:rFonts w:ascii="Cambria" w:hAnsi="Cambria"/>
        </w:rPr>
        <w:t xml:space="preserve"> the scope of the Act, but they are also excluded from the ove</w:t>
      </w:r>
      <w:r w:rsidR="00216984" w:rsidRPr="00F05617">
        <w:rPr>
          <w:rFonts w:ascii="Cambria" w:hAnsi="Cambria"/>
        </w:rPr>
        <w:t>rsight functions of the</w:t>
      </w:r>
      <w:r w:rsidRPr="00F05617">
        <w:rPr>
          <w:rFonts w:ascii="Cambria" w:hAnsi="Cambria"/>
        </w:rPr>
        <w:t xml:space="preserve"> Information Commissioner. </w:t>
      </w:r>
      <w:r w:rsidR="00687D2C">
        <w:rPr>
          <w:rFonts w:ascii="Cambria" w:hAnsi="Cambria"/>
        </w:rPr>
        <w:t>B</w:t>
      </w:r>
      <w:r w:rsidR="00216984" w:rsidRPr="00F05617">
        <w:rPr>
          <w:rFonts w:ascii="Cambria" w:hAnsi="Cambria"/>
        </w:rPr>
        <w:t xml:space="preserve">ill </w:t>
      </w:r>
      <w:r w:rsidR="00687D2C">
        <w:rPr>
          <w:rFonts w:ascii="Cambria" w:hAnsi="Cambria"/>
        </w:rPr>
        <w:t xml:space="preserve">C-58 </w:t>
      </w:r>
      <w:r w:rsidR="00216984" w:rsidRPr="00F05617">
        <w:rPr>
          <w:rFonts w:ascii="Cambria" w:hAnsi="Cambria"/>
        </w:rPr>
        <w:t>specifically states that the Commissioner may not exercise</w:t>
      </w:r>
      <w:r w:rsidR="00FF5CAD" w:rsidRPr="00F05617">
        <w:rPr>
          <w:rFonts w:ascii="Cambria" w:hAnsi="Cambria"/>
        </w:rPr>
        <w:t xml:space="preserve"> oversight over </w:t>
      </w:r>
      <w:r w:rsidR="00216984" w:rsidRPr="00F05617">
        <w:rPr>
          <w:rFonts w:ascii="Cambria" w:hAnsi="Cambria"/>
        </w:rPr>
        <w:t>any matter relating to proactive disclosure</w:t>
      </w:r>
      <w:r w:rsidR="00687D2C">
        <w:rPr>
          <w:rFonts w:ascii="Cambria" w:hAnsi="Cambria"/>
        </w:rPr>
        <w:t>,</w:t>
      </w:r>
      <w:r w:rsidR="00216984" w:rsidRPr="00F05617">
        <w:rPr>
          <w:rFonts w:ascii="Cambria" w:hAnsi="Cambria"/>
        </w:rPr>
        <w:t xml:space="preserve"> including </w:t>
      </w:r>
      <w:r w:rsidR="00687D2C">
        <w:rPr>
          <w:rFonts w:ascii="Cambria" w:hAnsi="Cambria"/>
        </w:rPr>
        <w:t xml:space="preserve">the </w:t>
      </w:r>
      <w:r w:rsidR="00216984" w:rsidRPr="00F05617">
        <w:rPr>
          <w:rFonts w:ascii="Cambria" w:hAnsi="Cambria"/>
        </w:rPr>
        <w:t xml:space="preserve">information that </w:t>
      </w:r>
      <w:r w:rsidR="00216984" w:rsidRPr="00F05617">
        <w:rPr>
          <w:rFonts w:ascii="Cambria" w:hAnsi="Cambria"/>
        </w:rPr>
        <w:lastRenderedPageBreak/>
        <w:t>must be published, and the exercise of a power or the performance of a duty or function under the proactive dis</w:t>
      </w:r>
      <w:r w:rsidR="00687D2C">
        <w:rPr>
          <w:rFonts w:ascii="Cambria" w:hAnsi="Cambria"/>
        </w:rPr>
        <w:t>closure regime.</w:t>
      </w:r>
    </w:p>
    <w:p w:rsidR="00687D2C" w:rsidRPr="00F05617" w:rsidRDefault="00687D2C" w:rsidP="00687D2C">
      <w:pPr>
        <w:jc w:val="both"/>
        <w:rPr>
          <w:rFonts w:ascii="Cambria" w:hAnsi="Cambria"/>
        </w:rPr>
      </w:pPr>
    </w:p>
    <w:p w:rsidR="00687D2C" w:rsidRPr="00F05617" w:rsidRDefault="00687D2C" w:rsidP="00687D2C">
      <w:pPr>
        <w:jc w:val="both"/>
        <w:rPr>
          <w:rFonts w:ascii="Cambria" w:hAnsi="Cambria"/>
        </w:rPr>
      </w:pPr>
      <w:r w:rsidRPr="00F05617">
        <w:rPr>
          <w:rFonts w:ascii="Cambria" w:hAnsi="Cambria"/>
        </w:rPr>
        <w:t xml:space="preserve">In its current form, the ATIA only applies to citizens and residents. This runs counter to both international </w:t>
      </w:r>
      <w:r>
        <w:rPr>
          <w:rFonts w:ascii="Cambria" w:hAnsi="Cambria"/>
        </w:rPr>
        <w:t xml:space="preserve">standards </w:t>
      </w:r>
      <w:r w:rsidRPr="00F05617">
        <w:rPr>
          <w:rFonts w:ascii="Cambria" w:hAnsi="Cambria"/>
        </w:rPr>
        <w:t>and constitutional guarantees, which apply to everyone</w:t>
      </w:r>
      <w:r>
        <w:rPr>
          <w:rFonts w:ascii="Cambria" w:hAnsi="Cambria"/>
        </w:rPr>
        <w:t xml:space="preserve">, as well as </w:t>
      </w:r>
      <w:r w:rsidR="00933C29">
        <w:rPr>
          <w:rFonts w:ascii="Cambria" w:hAnsi="Cambria"/>
        </w:rPr>
        <w:t xml:space="preserve">to </w:t>
      </w:r>
      <w:r>
        <w:rPr>
          <w:rFonts w:ascii="Cambria" w:hAnsi="Cambria"/>
        </w:rPr>
        <w:t>better</w:t>
      </w:r>
      <w:r w:rsidRPr="00F05617">
        <w:rPr>
          <w:rFonts w:ascii="Cambria" w:hAnsi="Cambria"/>
        </w:rPr>
        <w:t xml:space="preserve"> international practice. </w:t>
      </w:r>
      <w:r>
        <w:rPr>
          <w:rFonts w:ascii="Cambria" w:hAnsi="Cambria"/>
        </w:rPr>
        <w:t>Furthermore, t</w:t>
      </w:r>
      <w:r w:rsidRPr="00F05617">
        <w:rPr>
          <w:rFonts w:ascii="Cambria" w:hAnsi="Cambria"/>
        </w:rPr>
        <w:t xml:space="preserve">his </w:t>
      </w:r>
      <w:r>
        <w:rPr>
          <w:rFonts w:ascii="Cambria" w:hAnsi="Cambria"/>
        </w:rPr>
        <w:t xml:space="preserve">limitation makes Canada look </w:t>
      </w:r>
      <w:r w:rsidRPr="00F05617">
        <w:rPr>
          <w:rFonts w:ascii="Cambria" w:hAnsi="Cambria"/>
        </w:rPr>
        <w:t>unnecessarily xenophobic</w:t>
      </w:r>
      <w:r>
        <w:rPr>
          <w:rFonts w:ascii="Cambria" w:hAnsi="Cambria"/>
        </w:rPr>
        <w:t xml:space="preserve"> as compared to countries like the United States and United Kingdom, where the right applies to everyone</w:t>
      </w:r>
      <w:r w:rsidRPr="00F05617">
        <w:rPr>
          <w:rFonts w:ascii="Cambria" w:hAnsi="Cambria"/>
        </w:rPr>
        <w:t xml:space="preserve">. Foreigners </w:t>
      </w:r>
      <w:r>
        <w:rPr>
          <w:rFonts w:ascii="Cambria" w:hAnsi="Cambria"/>
        </w:rPr>
        <w:t xml:space="preserve">often </w:t>
      </w:r>
      <w:r w:rsidRPr="00F05617">
        <w:rPr>
          <w:rFonts w:ascii="Cambria" w:hAnsi="Cambria"/>
        </w:rPr>
        <w:t>make requests in the public interest</w:t>
      </w:r>
      <w:r>
        <w:rPr>
          <w:rFonts w:ascii="Cambria" w:hAnsi="Cambria"/>
        </w:rPr>
        <w:t>;</w:t>
      </w:r>
      <w:r w:rsidRPr="00F05617">
        <w:rPr>
          <w:rFonts w:ascii="Cambria" w:hAnsi="Cambria"/>
        </w:rPr>
        <w:t xml:space="preserve"> academics and researchers may seek information </w:t>
      </w:r>
      <w:r>
        <w:rPr>
          <w:rFonts w:ascii="Cambria" w:hAnsi="Cambria"/>
        </w:rPr>
        <w:t xml:space="preserve">to publish reports </w:t>
      </w:r>
      <w:r w:rsidRPr="00F05617">
        <w:rPr>
          <w:rFonts w:ascii="Cambria" w:hAnsi="Cambria"/>
        </w:rPr>
        <w:t xml:space="preserve">that </w:t>
      </w:r>
      <w:r>
        <w:rPr>
          <w:rFonts w:ascii="Cambria" w:hAnsi="Cambria"/>
        </w:rPr>
        <w:t>help inform public policy, and foreign companies</w:t>
      </w:r>
      <w:r w:rsidRPr="00F05617">
        <w:rPr>
          <w:rFonts w:ascii="Cambria" w:hAnsi="Cambria"/>
        </w:rPr>
        <w:t xml:space="preserve"> and </w:t>
      </w:r>
      <w:r>
        <w:rPr>
          <w:rFonts w:ascii="Cambria" w:hAnsi="Cambria"/>
        </w:rPr>
        <w:t xml:space="preserve">business people </w:t>
      </w:r>
      <w:r w:rsidRPr="00F05617">
        <w:rPr>
          <w:rFonts w:ascii="Cambria" w:hAnsi="Cambria"/>
        </w:rPr>
        <w:t xml:space="preserve">may seek information to be able better to </w:t>
      </w:r>
      <w:r>
        <w:rPr>
          <w:rFonts w:ascii="Cambria" w:hAnsi="Cambria"/>
        </w:rPr>
        <w:t xml:space="preserve">participate in and </w:t>
      </w:r>
      <w:r w:rsidRPr="00F05617">
        <w:rPr>
          <w:rFonts w:ascii="Cambria" w:hAnsi="Cambria"/>
        </w:rPr>
        <w:t xml:space="preserve">contribute to our economy. </w:t>
      </w:r>
      <w:r>
        <w:rPr>
          <w:rFonts w:ascii="Cambria" w:hAnsi="Cambria"/>
        </w:rPr>
        <w:t xml:space="preserve">This limitation is not only </w:t>
      </w:r>
      <w:r w:rsidRPr="00F05617">
        <w:rPr>
          <w:rFonts w:ascii="Cambria" w:hAnsi="Cambria"/>
        </w:rPr>
        <w:t xml:space="preserve">unnecessary but it is also </w:t>
      </w:r>
      <w:r>
        <w:rPr>
          <w:rFonts w:ascii="Cambria" w:hAnsi="Cambria"/>
        </w:rPr>
        <w:t xml:space="preserve">unduly </w:t>
      </w:r>
      <w:r w:rsidRPr="00F05617">
        <w:rPr>
          <w:rFonts w:ascii="Cambria" w:hAnsi="Cambria"/>
        </w:rPr>
        <w:t>burdensome for officials</w:t>
      </w:r>
      <w:r>
        <w:rPr>
          <w:rFonts w:ascii="Cambria" w:hAnsi="Cambria"/>
        </w:rPr>
        <w:t xml:space="preserve">, who </w:t>
      </w:r>
      <w:r w:rsidRPr="00F05617">
        <w:rPr>
          <w:rFonts w:ascii="Cambria" w:hAnsi="Cambria"/>
        </w:rPr>
        <w:t xml:space="preserve">will have to take steps, and </w:t>
      </w:r>
      <w:r>
        <w:rPr>
          <w:rFonts w:ascii="Cambria" w:hAnsi="Cambria"/>
        </w:rPr>
        <w:t xml:space="preserve">waste </w:t>
      </w:r>
      <w:r w:rsidRPr="00F05617">
        <w:rPr>
          <w:rFonts w:ascii="Cambria" w:hAnsi="Cambria"/>
        </w:rPr>
        <w:t>time and potentially resources</w:t>
      </w:r>
      <w:r>
        <w:rPr>
          <w:rFonts w:ascii="Cambria" w:hAnsi="Cambria"/>
        </w:rPr>
        <w:t>,</w:t>
      </w:r>
      <w:r w:rsidRPr="00F05617">
        <w:rPr>
          <w:rFonts w:ascii="Cambria" w:hAnsi="Cambria"/>
        </w:rPr>
        <w:t xml:space="preserve"> to establish </w:t>
      </w:r>
      <w:r>
        <w:rPr>
          <w:rFonts w:ascii="Cambria" w:hAnsi="Cambria"/>
        </w:rPr>
        <w:t>who is and is not</w:t>
      </w:r>
      <w:r w:rsidRPr="00F05617">
        <w:rPr>
          <w:rFonts w:ascii="Cambria" w:hAnsi="Cambria"/>
        </w:rPr>
        <w:t xml:space="preserve"> a citizen or resident</w:t>
      </w:r>
      <w:r>
        <w:rPr>
          <w:rFonts w:ascii="Cambria" w:hAnsi="Cambria"/>
        </w:rPr>
        <w:t>.</w:t>
      </w:r>
    </w:p>
    <w:p w:rsidR="00A35538" w:rsidRPr="00F05617" w:rsidRDefault="00A35538" w:rsidP="00A3414E">
      <w:pPr>
        <w:jc w:val="both"/>
        <w:rPr>
          <w:rFonts w:ascii="Cambria" w:hAnsi="Cambria"/>
        </w:rPr>
      </w:pPr>
    </w:p>
    <w:p w:rsidR="00234EE0" w:rsidRPr="00F05617" w:rsidRDefault="009B4BB5" w:rsidP="00A3414E">
      <w:pPr>
        <w:jc w:val="both"/>
        <w:rPr>
          <w:rFonts w:ascii="Cambria" w:hAnsi="Cambria"/>
        </w:rPr>
      </w:pPr>
      <w:r>
        <w:rPr>
          <w:rFonts w:ascii="Cambria" w:hAnsi="Cambria"/>
        </w:rPr>
        <w:t>Bill C-58 also fails</w:t>
      </w:r>
      <w:r w:rsidR="001A1208" w:rsidRPr="00F05617">
        <w:rPr>
          <w:rFonts w:ascii="Cambria" w:hAnsi="Cambria"/>
        </w:rPr>
        <w:t xml:space="preserve"> to institute a</w:t>
      </w:r>
      <w:r w:rsidR="00234EE0" w:rsidRPr="00F05617">
        <w:rPr>
          <w:rFonts w:ascii="Cambria" w:hAnsi="Cambria"/>
        </w:rPr>
        <w:t xml:space="preserve"> duty to document important decision-making processes. </w:t>
      </w:r>
      <w:r w:rsidR="001A1208" w:rsidRPr="00F05617">
        <w:rPr>
          <w:rFonts w:ascii="Cambria" w:hAnsi="Cambria"/>
        </w:rPr>
        <w:t>Such a</w:t>
      </w:r>
      <w:r w:rsidR="00234EE0" w:rsidRPr="00F05617">
        <w:rPr>
          <w:rFonts w:ascii="Cambria" w:hAnsi="Cambria"/>
        </w:rPr>
        <w:t xml:space="preserve"> duty </w:t>
      </w:r>
      <w:r w:rsidR="001A1208" w:rsidRPr="00F05617">
        <w:rPr>
          <w:rFonts w:ascii="Cambria" w:hAnsi="Cambria"/>
        </w:rPr>
        <w:t>would</w:t>
      </w:r>
      <w:r w:rsidR="00234EE0" w:rsidRPr="00F05617">
        <w:rPr>
          <w:rFonts w:ascii="Cambria" w:hAnsi="Cambria"/>
        </w:rPr>
        <w:t xml:space="preserve"> address </w:t>
      </w:r>
      <w:r w:rsidR="009F3982" w:rsidRPr="00F05617">
        <w:rPr>
          <w:rFonts w:ascii="Cambria" w:hAnsi="Cambria"/>
        </w:rPr>
        <w:t>the</w:t>
      </w:r>
      <w:r w:rsidR="00234EE0" w:rsidRPr="00F05617">
        <w:rPr>
          <w:rFonts w:ascii="Cambria" w:hAnsi="Cambria"/>
        </w:rPr>
        <w:t xml:space="preserve"> problem</w:t>
      </w:r>
      <w:r w:rsidR="00E50E23" w:rsidRPr="00F05617">
        <w:rPr>
          <w:rFonts w:ascii="Cambria" w:hAnsi="Cambria"/>
        </w:rPr>
        <w:t>s</w:t>
      </w:r>
      <w:r w:rsidR="00234EE0" w:rsidRPr="00F05617">
        <w:rPr>
          <w:rFonts w:ascii="Cambria" w:hAnsi="Cambria"/>
        </w:rPr>
        <w:t xml:space="preserve"> </w:t>
      </w:r>
      <w:r w:rsidR="009F3982" w:rsidRPr="00F05617">
        <w:rPr>
          <w:rFonts w:ascii="Cambria" w:hAnsi="Cambria"/>
        </w:rPr>
        <w:t>of</w:t>
      </w:r>
      <w:r w:rsidR="00234EE0" w:rsidRPr="00F05617">
        <w:rPr>
          <w:rFonts w:ascii="Cambria" w:hAnsi="Cambria"/>
        </w:rPr>
        <w:t xml:space="preserve"> officials conduct</w:t>
      </w:r>
      <w:r w:rsidR="009F3982" w:rsidRPr="00F05617">
        <w:rPr>
          <w:rFonts w:ascii="Cambria" w:hAnsi="Cambria"/>
        </w:rPr>
        <w:t>ing</w:t>
      </w:r>
      <w:r w:rsidR="00234EE0" w:rsidRPr="00F05617">
        <w:rPr>
          <w:rFonts w:ascii="Cambria" w:hAnsi="Cambria"/>
        </w:rPr>
        <w:t xml:space="preserve"> business in ways that </w:t>
      </w:r>
      <w:r w:rsidR="009F3982" w:rsidRPr="00F05617">
        <w:rPr>
          <w:rFonts w:ascii="Cambria" w:hAnsi="Cambria"/>
        </w:rPr>
        <w:t>create no paper trail</w:t>
      </w:r>
      <w:r w:rsidR="00E50E23" w:rsidRPr="00F05617">
        <w:rPr>
          <w:rFonts w:ascii="Cambria" w:hAnsi="Cambria"/>
        </w:rPr>
        <w:t xml:space="preserve">, such as orally, and </w:t>
      </w:r>
      <w:r w:rsidR="009F3982" w:rsidRPr="00F05617">
        <w:rPr>
          <w:rFonts w:ascii="Cambria" w:hAnsi="Cambria"/>
        </w:rPr>
        <w:t xml:space="preserve">the use </w:t>
      </w:r>
      <w:r w:rsidR="00E50E23" w:rsidRPr="00F05617">
        <w:rPr>
          <w:rFonts w:ascii="Cambria" w:hAnsi="Cambria"/>
        </w:rPr>
        <w:t>of private devices to communicate official business</w:t>
      </w:r>
      <w:r w:rsidR="00234EE0" w:rsidRPr="00F05617">
        <w:rPr>
          <w:rFonts w:ascii="Cambria" w:hAnsi="Cambria"/>
        </w:rPr>
        <w:t xml:space="preserve">. </w:t>
      </w:r>
      <w:r>
        <w:rPr>
          <w:rFonts w:ascii="Cambria" w:hAnsi="Cambria"/>
        </w:rPr>
        <w:t>Although, t</w:t>
      </w:r>
      <w:r w:rsidR="00E50E23" w:rsidRPr="00F05617">
        <w:rPr>
          <w:rFonts w:ascii="Cambria" w:hAnsi="Cambria"/>
        </w:rPr>
        <w:t xml:space="preserve">echnically, </w:t>
      </w:r>
      <w:r w:rsidR="00234EE0" w:rsidRPr="00F05617">
        <w:rPr>
          <w:rFonts w:ascii="Cambria" w:hAnsi="Cambria"/>
        </w:rPr>
        <w:t>the Act</w:t>
      </w:r>
      <w:r w:rsidR="00E50E23" w:rsidRPr="00F05617">
        <w:rPr>
          <w:rFonts w:ascii="Cambria" w:hAnsi="Cambria"/>
        </w:rPr>
        <w:t xml:space="preserve"> covers </w:t>
      </w:r>
      <w:r>
        <w:rPr>
          <w:rFonts w:ascii="Cambria" w:hAnsi="Cambria"/>
        </w:rPr>
        <w:t xml:space="preserve">the latter </w:t>
      </w:r>
      <w:r w:rsidR="00E50E23" w:rsidRPr="00F05617">
        <w:rPr>
          <w:rFonts w:ascii="Cambria" w:hAnsi="Cambria"/>
        </w:rPr>
        <w:t>acts</w:t>
      </w:r>
      <w:r>
        <w:rPr>
          <w:rFonts w:ascii="Cambria" w:hAnsi="Cambria"/>
        </w:rPr>
        <w:t>,</w:t>
      </w:r>
      <w:r w:rsidR="00E50E23" w:rsidRPr="00F05617">
        <w:rPr>
          <w:rFonts w:ascii="Cambria" w:hAnsi="Cambria"/>
        </w:rPr>
        <w:t xml:space="preserve"> </w:t>
      </w:r>
      <w:r>
        <w:rPr>
          <w:rFonts w:ascii="Cambria" w:hAnsi="Cambria"/>
        </w:rPr>
        <w:t xml:space="preserve">it can be very difficult to capture this content via information requests while </w:t>
      </w:r>
      <w:r w:rsidR="00E50E23" w:rsidRPr="00F05617">
        <w:rPr>
          <w:rFonts w:ascii="Cambria" w:hAnsi="Cambria"/>
        </w:rPr>
        <w:t>a</w:t>
      </w:r>
      <w:r w:rsidR="00234EE0" w:rsidRPr="00F05617">
        <w:rPr>
          <w:rFonts w:ascii="Cambria" w:hAnsi="Cambria"/>
        </w:rPr>
        <w:t xml:space="preserve"> duty to document would ensure that key decision-making information </w:t>
      </w:r>
      <w:r>
        <w:rPr>
          <w:rFonts w:ascii="Cambria" w:hAnsi="Cambria"/>
        </w:rPr>
        <w:t xml:space="preserve">was </w:t>
      </w:r>
      <w:r w:rsidR="00234EE0" w:rsidRPr="00F05617">
        <w:rPr>
          <w:rFonts w:ascii="Cambria" w:hAnsi="Cambria"/>
        </w:rPr>
        <w:t xml:space="preserve">maintained </w:t>
      </w:r>
      <w:r>
        <w:rPr>
          <w:rFonts w:ascii="Cambria" w:hAnsi="Cambria"/>
        </w:rPr>
        <w:t xml:space="preserve">in </w:t>
      </w:r>
      <w:r w:rsidR="00234EE0" w:rsidRPr="00F05617">
        <w:rPr>
          <w:rFonts w:ascii="Cambria" w:hAnsi="Cambria"/>
        </w:rPr>
        <w:t>officia</w:t>
      </w:r>
      <w:r w:rsidR="000439E2" w:rsidRPr="00F05617">
        <w:rPr>
          <w:rFonts w:ascii="Cambria" w:hAnsi="Cambria"/>
        </w:rPr>
        <w:t>l record</w:t>
      </w:r>
      <w:r>
        <w:rPr>
          <w:rFonts w:ascii="Cambria" w:hAnsi="Cambria"/>
        </w:rPr>
        <w:t>s</w:t>
      </w:r>
      <w:r w:rsidR="00130ABA" w:rsidRPr="00F05617">
        <w:rPr>
          <w:rFonts w:ascii="Cambria" w:hAnsi="Cambria"/>
        </w:rPr>
        <w:t xml:space="preserve"> as a matter of course</w:t>
      </w:r>
      <w:r w:rsidR="00234EE0" w:rsidRPr="00F05617">
        <w:rPr>
          <w:rFonts w:ascii="Cambria" w:hAnsi="Cambria"/>
        </w:rPr>
        <w:t>.</w:t>
      </w:r>
    </w:p>
    <w:p w:rsidR="00A35538" w:rsidRPr="00F05617" w:rsidRDefault="00A35538">
      <w:pPr>
        <w:rPr>
          <w:rFonts w:ascii="Cambria" w:hAnsi="Cambria"/>
          <w:b/>
          <w:sz w:val="28"/>
          <w:szCs w:val="28"/>
        </w:rPr>
      </w:pPr>
    </w:p>
    <w:p w:rsidR="00331973" w:rsidRPr="007A21F9" w:rsidRDefault="00AE2466" w:rsidP="007A21F9">
      <w:pPr>
        <w:pStyle w:val="Heading1"/>
        <w:rPr>
          <w:rFonts w:asciiTheme="minorHAnsi" w:hAnsiTheme="minorHAnsi"/>
          <w:sz w:val="28"/>
        </w:rPr>
      </w:pPr>
      <w:r w:rsidRPr="007A21F9">
        <w:rPr>
          <w:rFonts w:asciiTheme="minorHAnsi" w:hAnsiTheme="minorHAnsi"/>
          <w:sz w:val="28"/>
        </w:rPr>
        <w:t>Requesting Procedures</w:t>
      </w:r>
    </w:p>
    <w:p w:rsidR="003C3AD2" w:rsidRPr="00F05617" w:rsidRDefault="00FD65F9" w:rsidP="00A3414E">
      <w:pPr>
        <w:jc w:val="both"/>
        <w:rPr>
          <w:rFonts w:ascii="Cambria" w:hAnsi="Cambria"/>
        </w:rPr>
      </w:pPr>
      <w:r>
        <w:rPr>
          <w:rFonts w:ascii="Cambria" w:hAnsi="Cambria"/>
        </w:rPr>
        <w:t>One of the most serious problems with the ATIA, about which u</w:t>
      </w:r>
      <w:r w:rsidR="00951B3B" w:rsidRPr="00F05617">
        <w:rPr>
          <w:rFonts w:ascii="Cambria" w:hAnsi="Cambria"/>
        </w:rPr>
        <w:t xml:space="preserve">sers </w:t>
      </w:r>
      <w:r w:rsidR="00FF62BD" w:rsidRPr="00F05617">
        <w:rPr>
          <w:rFonts w:ascii="Cambria" w:hAnsi="Cambria"/>
        </w:rPr>
        <w:t>have consistently complained</w:t>
      </w:r>
      <w:r>
        <w:rPr>
          <w:rFonts w:ascii="Cambria" w:hAnsi="Cambria"/>
        </w:rPr>
        <w:t>, is that it allows, and public authorities often impose,</w:t>
      </w:r>
      <w:r w:rsidR="00FF62BD" w:rsidRPr="00F05617">
        <w:rPr>
          <w:rFonts w:ascii="Cambria" w:hAnsi="Cambria"/>
        </w:rPr>
        <w:t xml:space="preserve"> </w:t>
      </w:r>
      <w:r w:rsidR="00951B3B" w:rsidRPr="00F05617">
        <w:rPr>
          <w:rFonts w:ascii="Cambria" w:hAnsi="Cambria"/>
        </w:rPr>
        <w:t xml:space="preserve">long delays in responding to requests. </w:t>
      </w:r>
      <w:r w:rsidR="00D05759" w:rsidRPr="00F05617">
        <w:rPr>
          <w:rFonts w:ascii="Cambria" w:hAnsi="Cambria"/>
        </w:rPr>
        <w:t>T</w:t>
      </w:r>
      <w:r w:rsidR="00951B3B" w:rsidRPr="00F05617">
        <w:rPr>
          <w:rFonts w:ascii="Cambria" w:hAnsi="Cambria"/>
        </w:rPr>
        <w:t xml:space="preserve">he ATIA, </w:t>
      </w:r>
      <w:r w:rsidR="00F14F87" w:rsidRPr="00F05617">
        <w:rPr>
          <w:rFonts w:ascii="Cambria" w:hAnsi="Cambria"/>
        </w:rPr>
        <w:t xml:space="preserve">in </w:t>
      </w:r>
      <w:r>
        <w:rPr>
          <w:rFonts w:ascii="Cambria" w:hAnsi="Cambria"/>
        </w:rPr>
        <w:t xml:space="preserve">broad </w:t>
      </w:r>
      <w:r w:rsidR="00F14F87" w:rsidRPr="00F05617">
        <w:rPr>
          <w:rFonts w:ascii="Cambria" w:hAnsi="Cambria"/>
        </w:rPr>
        <w:t xml:space="preserve">conformity with </w:t>
      </w:r>
      <w:r w:rsidR="007168F2" w:rsidRPr="00F05617">
        <w:rPr>
          <w:rFonts w:ascii="Cambria" w:hAnsi="Cambria"/>
        </w:rPr>
        <w:t>interna</w:t>
      </w:r>
      <w:r w:rsidR="00FE5009" w:rsidRPr="00F05617">
        <w:rPr>
          <w:rFonts w:ascii="Cambria" w:hAnsi="Cambria"/>
        </w:rPr>
        <w:t>tional law and practice</w:t>
      </w:r>
      <w:r w:rsidR="000952E4" w:rsidRPr="00F05617">
        <w:rPr>
          <w:rFonts w:ascii="Cambria" w:hAnsi="Cambria"/>
        </w:rPr>
        <w:t>,</w:t>
      </w:r>
      <w:r w:rsidR="00FE5009" w:rsidRPr="00F05617">
        <w:rPr>
          <w:rFonts w:ascii="Cambria" w:hAnsi="Cambria"/>
        </w:rPr>
        <w:t xml:space="preserve"> </w:t>
      </w:r>
      <w:r>
        <w:rPr>
          <w:rFonts w:ascii="Cambria" w:hAnsi="Cambria"/>
        </w:rPr>
        <w:t xml:space="preserve">creates a presumption </w:t>
      </w:r>
      <w:r w:rsidR="00FE5009" w:rsidRPr="00F05617">
        <w:rPr>
          <w:rFonts w:ascii="Cambria" w:hAnsi="Cambria"/>
        </w:rPr>
        <w:t xml:space="preserve">that authorities </w:t>
      </w:r>
      <w:r>
        <w:rPr>
          <w:rFonts w:ascii="Cambria" w:hAnsi="Cambria"/>
        </w:rPr>
        <w:t xml:space="preserve">will </w:t>
      </w:r>
      <w:r w:rsidR="00951B3B" w:rsidRPr="00F05617">
        <w:rPr>
          <w:rFonts w:ascii="Cambria" w:hAnsi="Cambria"/>
        </w:rPr>
        <w:t xml:space="preserve">respond to requests within 30 days. </w:t>
      </w:r>
      <w:r w:rsidR="00C74A60" w:rsidRPr="00F05617">
        <w:rPr>
          <w:rFonts w:ascii="Cambria" w:hAnsi="Cambria"/>
        </w:rPr>
        <w:t>However, it</w:t>
      </w:r>
      <w:r w:rsidR="000952E4" w:rsidRPr="00F05617">
        <w:rPr>
          <w:rFonts w:ascii="Cambria" w:hAnsi="Cambria"/>
        </w:rPr>
        <w:t xml:space="preserve"> </w:t>
      </w:r>
      <w:r w:rsidR="00FE5009" w:rsidRPr="00F05617">
        <w:rPr>
          <w:rFonts w:ascii="Cambria" w:hAnsi="Cambria"/>
        </w:rPr>
        <w:t>also allows</w:t>
      </w:r>
      <w:r w:rsidR="00951B3B" w:rsidRPr="00F05617">
        <w:rPr>
          <w:rFonts w:ascii="Cambria" w:hAnsi="Cambria"/>
        </w:rPr>
        <w:t xml:space="preserve"> </w:t>
      </w:r>
      <w:r w:rsidR="00623B0F" w:rsidRPr="00F05617">
        <w:rPr>
          <w:rFonts w:ascii="Cambria" w:hAnsi="Cambria"/>
        </w:rPr>
        <w:t>authorities</w:t>
      </w:r>
      <w:r w:rsidR="00FE5009" w:rsidRPr="00F05617">
        <w:rPr>
          <w:rFonts w:ascii="Cambria" w:hAnsi="Cambria"/>
        </w:rPr>
        <w:t xml:space="preserve"> </w:t>
      </w:r>
      <w:r w:rsidR="00951B3B" w:rsidRPr="00F05617">
        <w:rPr>
          <w:rFonts w:ascii="Cambria" w:hAnsi="Cambria"/>
        </w:rPr>
        <w:t xml:space="preserve">to extend </w:t>
      </w:r>
      <w:r>
        <w:rPr>
          <w:rFonts w:ascii="Cambria" w:hAnsi="Cambria"/>
        </w:rPr>
        <w:t>the 30-</w:t>
      </w:r>
      <w:r w:rsidR="00623B0F" w:rsidRPr="00F05617">
        <w:rPr>
          <w:rFonts w:ascii="Cambria" w:hAnsi="Cambria"/>
        </w:rPr>
        <w:t>day</w:t>
      </w:r>
      <w:r w:rsidR="00951B3B" w:rsidRPr="00F05617">
        <w:rPr>
          <w:rFonts w:ascii="Cambria" w:hAnsi="Cambria"/>
        </w:rPr>
        <w:t xml:space="preserve"> </w:t>
      </w:r>
      <w:r w:rsidR="00FE5009" w:rsidRPr="00F05617">
        <w:rPr>
          <w:rFonts w:ascii="Cambria" w:hAnsi="Cambria"/>
        </w:rPr>
        <w:t xml:space="preserve">period </w:t>
      </w:r>
      <w:r w:rsidR="00951B3B" w:rsidRPr="00F05617">
        <w:rPr>
          <w:rFonts w:ascii="Cambria" w:hAnsi="Cambria"/>
        </w:rPr>
        <w:t xml:space="preserve">by “a reasonable period of time” by giving notice to the requester and, if </w:t>
      </w:r>
      <w:r w:rsidR="00FE5009" w:rsidRPr="00F05617">
        <w:rPr>
          <w:rFonts w:ascii="Cambria" w:hAnsi="Cambria"/>
        </w:rPr>
        <w:t>the</w:t>
      </w:r>
      <w:r w:rsidR="00951B3B" w:rsidRPr="00F05617">
        <w:rPr>
          <w:rFonts w:ascii="Cambria" w:hAnsi="Cambria"/>
        </w:rPr>
        <w:t xml:space="preserve"> extension</w:t>
      </w:r>
      <w:r w:rsidR="0089388E" w:rsidRPr="00F05617">
        <w:rPr>
          <w:rFonts w:ascii="Cambria" w:hAnsi="Cambria"/>
        </w:rPr>
        <w:t xml:space="preserve"> </w:t>
      </w:r>
      <w:r w:rsidR="00951B3B" w:rsidRPr="00F05617">
        <w:rPr>
          <w:rFonts w:ascii="Cambria" w:hAnsi="Cambria"/>
        </w:rPr>
        <w:t xml:space="preserve">runs </w:t>
      </w:r>
      <w:r w:rsidR="00A42166">
        <w:rPr>
          <w:rFonts w:ascii="Cambria" w:hAnsi="Cambria"/>
        </w:rPr>
        <w:t xml:space="preserve">to </w:t>
      </w:r>
      <w:r w:rsidR="00951B3B" w:rsidRPr="00F05617">
        <w:rPr>
          <w:rFonts w:ascii="Cambria" w:hAnsi="Cambria"/>
        </w:rPr>
        <w:t xml:space="preserve">longer than 30 additional days, </w:t>
      </w:r>
      <w:r w:rsidR="00623B0F" w:rsidRPr="00F05617">
        <w:rPr>
          <w:rFonts w:ascii="Cambria" w:hAnsi="Cambria"/>
        </w:rPr>
        <w:t xml:space="preserve">by </w:t>
      </w:r>
      <w:r w:rsidR="00951B3B" w:rsidRPr="00F05617">
        <w:rPr>
          <w:rFonts w:ascii="Cambria" w:hAnsi="Cambria"/>
        </w:rPr>
        <w:t>giving notice to the Inf</w:t>
      </w:r>
      <w:r w:rsidR="00623B0F" w:rsidRPr="00F05617">
        <w:rPr>
          <w:rFonts w:ascii="Cambria" w:hAnsi="Cambria"/>
        </w:rPr>
        <w:t>ormation Commissioner</w:t>
      </w:r>
      <w:r w:rsidR="00951B3B" w:rsidRPr="00F05617">
        <w:rPr>
          <w:rFonts w:ascii="Cambria" w:hAnsi="Cambria"/>
        </w:rPr>
        <w:t xml:space="preserve">. </w:t>
      </w:r>
      <w:r w:rsidR="00623B0F" w:rsidRPr="00F05617">
        <w:rPr>
          <w:rFonts w:ascii="Cambria" w:hAnsi="Cambria"/>
        </w:rPr>
        <w:t>The</w:t>
      </w:r>
      <w:r w:rsidR="00130ABA" w:rsidRPr="00F05617">
        <w:rPr>
          <w:rFonts w:ascii="Cambria" w:hAnsi="Cambria"/>
        </w:rPr>
        <w:t>se</w:t>
      </w:r>
      <w:r w:rsidR="00623B0F" w:rsidRPr="00F05617">
        <w:rPr>
          <w:rFonts w:ascii="Cambria" w:hAnsi="Cambria"/>
        </w:rPr>
        <w:t xml:space="preserve"> extensions </w:t>
      </w:r>
      <w:r>
        <w:rPr>
          <w:rFonts w:ascii="Cambria" w:hAnsi="Cambria"/>
        </w:rPr>
        <w:t xml:space="preserve">are </w:t>
      </w:r>
      <w:r w:rsidR="00623B0F" w:rsidRPr="00F05617">
        <w:rPr>
          <w:rFonts w:ascii="Cambria" w:hAnsi="Cambria"/>
        </w:rPr>
        <w:t xml:space="preserve">only </w:t>
      </w:r>
      <w:r>
        <w:rPr>
          <w:rFonts w:ascii="Cambria" w:hAnsi="Cambria"/>
        </w:rPr>
        <w:t xml:space="preserve">supposed to </w:t>
      </w:r>
      <w:r w:rsidR="00623B0F" w:rsidRPr="00F05617">
        <w:rPr>
          <w:rFonts w:ascii="Cambria" w:hAnsi="Cambria"/>
        </w:rPr>
        <w:t xml:space="preserve">apply </w:t>
      </w:r>
      <w:r w:rsidR="00A42166">
        <w:rPr>
          <w:rFonts w:ascii="Cambria" w:hAnsi="Cambria"/>
        </w:rPr>
        <w:t>in</w:t>
      </w:r>
      <w:r w:rsidR="00951B3B" w:rsidRPr="00F05617">
        <w:rPr>
          <w:rFonts w:ascii="Cambria" w:hAnsi="Cambria"/>
        </w:rPr>
        <w:t xml:space="preserve"> exceptional cases where </w:t>
      </w:r>
      <w:r w:rsidR="00304765" w:rsidRPr="00F05617">
        <w:rPr>
          <w:rFonts w:ascii="Cambria" w:hAnsi="Cambria"/>
        </w:rPr>
        <w:t>reque</w:t>
      </w:r>
      <w:r w:rsidR="0050208B" w:rsidRPr="00F05617">
        <w:rPr>
          <w:rFonts w:ascii="Cambria" w:hAnsi="Cambria"/>
        </w:rPr>
        <w:t>st</w:t>
      </w:r>
      <w:r w:rsidR="006D1E79" w:rsidRPr="00F05617">
        <w:rPr>
          <w:rFonts w:ascii="Cambria" w:hAnsi="Cambria"/>
        </w:rPr>
        <w:t>s</w:t>
      </w:r>
      <w:r w:rsidR="0050208B" w:rsidRPr="00F05617">
        <w:rPr>
          <w:rFonts w:ascii="Cambria" w:hAnsi="Cambria"/>
        </w:rPr>
        <w:t xml:space="preserve"> are considered too voluminous</w:t>
      </w:r>
      <w:r w:rsidR="00951B3B" w:rsidRPr="00F05617">
        <w:rPr>
          <w:rFonts w:ascii="Cambria" w:hAnsi="Cambria"/>
        </w:rPr>
        <w:t xml:space="preserve"> or </w:t>
      </w:r>
      <w:r w:rsidR="006D1E79" w:rsidRPr="00F05617">
        <w:rPr>
          <w:rFonts w:ascii="Cambria" w:hAnsi="Cambria"/>
        </w:rPr>
        <w:t xml:space="preserve">compliance with a request is considered to require </w:t>
      </w:r>
      <w:r w:rsidR="00951B3B" w:rsidRPr="00F05617">
        <w:rPr>
          <w:rFonts w:ascii="Cambria" w:hAnsi="Cambria"/>
        </w:rPr>
        <w:t xml:space="preserve">consultations </w:t>
      </w:r>
      <w:r w:rsidR="006D1E79" w:rsidRPr="00F05617">
        <w:rPr>
          <w:rFonts w:ascii="Cambria" w:hAnsi="Cambria"/>
        </w:rPr>
        <w:t xml:space="preserve">and therefore </w:t>
      </w:r>
      <w:r w:rsidR="00951B3B" w:rsidRPr="00F05617">
        <w:rPr>
          <w:rFonts w:ascii="Cambria" w:hAnsi="Cambria"/>
        </w:rPr>
        <w:t>cannot reasonably be completed</w:t>
      </w:r>
      <w:r w:rsidR="006D1E79" w:rsidRPr="00F05617">
        <w:rPr>
          <w:rFonts w:ascii="Cambria" w:hAnsi="Cambria"/>
        </w:rPr>
        <w:t xml:space="preserve"> within the original time limit</w:t>
      </w:r>
      <w:r w:rsidR="00951B3B" w:rsidRPr="00F05617">
        <w:rPr>
          <w:rFonts w:ascii="Cambria" w:hAnsi="Cambria"/>
        </w:rPr>
        <w:t>.</w:t>
      </w:r>
      <w:r w:rsidR="007E7D55" w:rsidRPr="00F05617">
        <w:rPr>
          <w:rFonts w:ascii="Cambria" w:hAnsi="Cambria"/>
        </w:rPr>
        <w:t xml:space="preserve"> </w:t>
      </w:r>
      <w:r>
        <w:rPr>
          <w:rFonts w:ascii="Cambria" w:hAnsi="Cambria"/>
        </w:rPr>
        <w:t xml:space="preserve">In practice, however, </w:t>
      </w:r>
      <w:r w:rsidR="00402D69" w:rsidRPr="00F05617">
        <w:rPr>
          <w:rFonts w:ascii="Cambria" w:hAnsi="Cambria"/>
        </w:rPr>
        <w:t xml:space="preserve">public authorities </w:t>
      </w:r>
      <w:r>
        <w:rPr>
          <w:rFonts w:ascii="Cambria" w:hAnsi="Cambria"/>
        </w:rPr>
        <w:t xml:space="preserve">very frequently take advantage of </w:t>
      </w:r>
      <w:r w:rsidR="00402D69" w:rsidRPr="00F05617">
        <w:rPr>
          <w:rFonts w:ascii="Cambria" w:hAnsi="Cambria"/>
        </w:rPr>
        <w:t xml:space="preserve">this </w:t>
      </w:r>
      <w:r>
        <w:rPr>
          <w:rFonts w:ascii="Cambria" w:hAnsi="Cambria"/>
        </w:rPr>
        <w:t xml:space="preserve">highly </w:t>
      </w:r>
      <w:r w:rsidR="00402D69" w:rsidRPr="00F05617">
        <w:rPr>
          <w:rFonts w:ascii="Cambria" w:hAnsi="Cambria"/>
        </w:rPr>
        <w:t xml:space="preserve">discretionary power to create </w:t>
      </w:r>
      <w:r w:rsidR="007E7D55" w:rsidRPr="00F05617">
        <w:rPr>
          <w:rFonts w:ascii="Cambria" w:hAnsi="Cambria"/>
        </w:rPr>
        <w:t>long</w:t>
      </w:r>
      <w:r w:rsidR="00951B3B" w:rsidRPr="00F05617">
        <w:rPr>
          <w:rFonts w:ascii="Cambria" w:hAnsi="Cambria"/>
        </w:rPr>
        <w:t xml:space="preserve"> </w:t>
      </w:r>
      <w:r w:rsidR="007E7D55" w:rsidRPr="00F05617">
        <w:rPr>
          <w:rFonts w:ascii="Cambria" w:hAnsi="Cambria"/>
        </w:rPr>
        <w:t xml:space="preserve">delays </w:t>
      </w:r>
      <w:r>
        <w:rPr>
          <w:rFonts w:ascii="Cambria" w:hAnsi="Cambria"/>
        </w:rPr>
        <w:t xml:space="preserve">in responding to requests. This seriously undermines </w:t>
      </w:r>
      <w:r w:rsidR="007E7D55" w:rsidRPr="00F05617">
        <w:rPr>
          <w:rFonts w:ascii="Cambria" w:hAnsi="Cambria"/>
        </w:rPr>
        <w:t xml:space="preserve">the right to information. </w:t>
      </w:r>
      <w:r>
        <w:rPr>
          <w:rFonts w:ascii="Cambria" w:hAnsi="Cambria"/>
        </w:rPr>
        <w:t>Indeed</w:t>
      </w:r>
      <w:r w:rsidR="007E7D55" w:rsidRPr="00F05617">
        <w:rPr>
          <w:rFonts w:ascii="Cambria" w:hAnsi="Cambria"/>
        </w:rPr>
        <w:t xml:space="preserve">, </w:t>
      </w:r>
      <w:r>
        <w:rPr>
          <w:rFonts w:ascii="Cambria" w:hAnsi="Cambria"/>
        </w:rPr>
        <w:t xml:space="preserve">it can </w:t>
      </w:r>
      <w:r w:rsidR="007E7D55" w:rsidRPr="00F05617">
        <w:rPr>
          <w:rFonts w:ascii="Cambria" w:hAnsi="Cambria"/>
        </w:rPr>
        <w:t xml:space="preserve">render time sensitive requests </w:t>
      </w:r>
      <w:r>
        <w:rPr>
          <w:rFonts w:ascii="Cambria" w:hAnsi="Cambria"/>
        </w:rPr>
        <w:t xml:space="preserve">entirely </w:t>
      </w:r>
      <w:r w:rsidR="007E7D55" w:rsidRPr="00F05617">
        <w:rPr>
          <w:rFonts w:ascii="Cambria" w:hAnsi="Cambria"/>
        </w:rPr>
        <w:t>moot</w:t>
      </w:r>
      <w:r>
        <w:rPr>
          <w:rFonts w:ascii="Cambria" w:hAnsi="Cambria"/>
        </w:rPr>
        <w:t xml:space="preserve">, </w:t>
      </w:r>
      <w:r w:rsidR="007E7D55" w:rsidRPr="00F05617">
        <w:rPr>
          <w:rFonts w:ascii="Cambria" w:hAnsi="Cambria"/>
        </w:rPr>
        <w:t xml:space="preserve">for </w:t>
      </w:r>
      <w:r>
        <w:rPr>
          <w:rFonts w:ascii="Cambria" w:hAnsi="Cambria"/>
        </w:rPr>
        <w:t xml:space="preserve">example where </w:t>
      </w:r>
      <w:r w:rsidR="007E7D55" w:rsidRPr="00F05617">
        <w:rPr>
          <w:rFonts w:ascii="Cambria" w:hAnsi="Cambria"/>
        </w:rPr>
        <w:t xml:space="preserve">journalists </w:t>
      </w:r>
      <w:r>
        <w:rPr>
          <w:rFonts w:ascii="Cambria" w:hAnsi="Cambria"/>
        </w:rPr>
        <w:t xml:space="preserve">are </w:t>
      </w:r>
      <w:r w:rsidR="007E7D55" w:rsidRPr="00F05617">
        <w:rPr>
          <w:rFonts w:ascii="Cambria" w:hAnsi="Cambria"/>
        </w:rPr>
        <w:t xml:space="preserve">working on </w:t>
      </w:r>
      <w:r>
        <w:rPr>
          <w:rFonts w:ascii="Cambria" w:hAnsi="Cambria"/>
        </w:rPr>
        <w:t xml:space="preserve">tight </w:t>
      </w:r>
      <w:r w:rsidR="006D1E79" w:rsidRPr="00F05617">
        <w:rPr>
          <w:rFonts w:ascii="Cambria" w:hAnsi="Cambria"/>
        </w:rPr>
        <w:t>deadlines</w:t>
      </w:r>
      <w:r w:rsidR="007E7D55" w:rsidRPr="00F05617">
        <w:rPr>
          <w:rFonts w:ascii="Cambria" w:hAnsi="Cambria"/>
        </w:rPr>
        <w:t>.</w:t>
      </w:r>
      <w:r w:rsidR="00402D69" w:rsidRPr="00F05617">
        <w:rPr>
          <w:rFonts w:ascii="Cambria" w:hAnsi="Cambria"/>
        </w:rPr>
        <w:t xml:space="preserve"> </w:t>
      </w:r>
    </w:p>
    <w:p w:rsidR="003C3AD2" w:rsidRPr="00F05617" w:rsidRDefault="003C3AD2" w:rsidP="00A3414E">
      <w:pPr>
        <w:jc w:val="both"/>
        <w:rPr>
          <w:rFonts w:ascii="Cambria" w:hAnsi="Cambria"/>
        </w:rPr>
      </w:pPr>
    </w:p>
    <w:p w:rsidR="003C3AD2" w:rsidRPr="00F05617" w:rsidRDefault="00402D69" w:rsidP="00A3414E">
      <w:pPr>
        <w:jc w:val="both"/>
        <w:rPr>
          <w:rFonts w:ascii="Cambria" w:hAnsi="Cambria"/>
        </w:rPr>
      </w:pPr>
      <w:r w:rsidRPr="00F05617">
        <w:rPr>
          <w:rFonts w:ascii="Cambria" w:hAnsi="Cambria"/>
        </w:rPr>
        <w:t xml:space="preserve">There are a number of options for reducing </w:t>
      </w:r>
      <w:r w:rsidR="003C3AD2" w:rsidRPr="00F05617">
        <w:rPr>
          <w:rFonts w:ascii="Cambria" w:hAnsi="Cambria"/>
        </w:rPr>
        <w:t>the</w:t>
      </w:r>
      <w:r w:rsidR="00BB4CDA">
        <w:rPr>
          <w:rFonts w:ascii="Cambria" w:hAnsi="Cambria"/>
        </w:rPr>
        <w:t xml:space="preserve"> scope of this</w:t>
      </w:r>
      <w:r w:rsidRPr="00F05617">
        <w:rPr>
          <w:rFonts w:ascii="Cambria" w:hAnsi="Cambria"/>
        </w:rPr>
        <w:t xml:space="preserve"> discretion</w:t>
      </w:r>
      <w:r w:rsidR="003C3AD2" w:rsidRPr="00F05617">
        <w:rPr>
          <w:rFonts w:ascii="Cambria" w:hAnsi="Cambria"/>
        </w:rPr>
        <w:t xml:space="preserve"> to delay</w:t>
      </w:r>
      <w:r w:rsidR="00BB4CDA">
        <w:rPr>
          <w:rFonts w:ascii="Cambria" w:hAnsi="Cambria"/>
        </w:rPr>
        <w:t>. For example, public authorities could be required</w:t>
      </w:r>
      <w:r w:rsidRPr="00F05617">
        <w:rPr>
          <w:rFonts w:ascii="Cambria" w:hAnsi="Cambria"/>
        </w:rPr>
        <w:t xml:space="preserve"> to obtain prior permission from the </w:t>
      </w:r>
      <w:r w:rsidRPr="00F05617">
        <w:rPr>
          <w:rFonts w:ascii="Cambria" w:hAnsi="Cambria"/>
        </w:rPr>
        <w:lastRenderedPageBreak/>
        <w:t>Information Commissioner for delays beyond a set period</w:t>
      </w:r>
      <w:r w:rsidR="00BB4CDA">
        <w:rPr>
          <w:rFonts w:ascii="Cambria" w:hAnsi="Cambria"/>
        </w:rPr>
        <w:t xml:space="preserve"> of time</w:t>
      </w:r>
      <w:r w:rsidRPr="00F05617">
        <w:rPr>
          <w:rFonts w:ascii="Cambria" w:hAnsi="Cambria"/>
        </w:rPr>
        <w:t>, say of 60 days.</w:t>
      </w:r>
      <w:r w:rsidRPr="00F05617">
        <w:rPr>
          <w:rFonts w:ascii="Cambria" w:hAnsi="Cambria"/>
          <w:vertAlign w:val="superscript"/>
        </w:rPr>
        <w:footnoteReference w:id="19"/>
      </w:r>
      <w:r w:rsidRPr="00F05617">
        <w:rPr>
          <w:rFonts w:ascii="Cambria" w:hAnsi="Cambria"/>
        </w:rPr>
        <w:t xml:space="preserve"> Alternatively, </w:t>
      </w:r>
      <w:r w:rsidR="00741D8E">
        <w:rPr>
          <w:rFonts w:ascii="Cambria" w:hAnsi="Cambria"/>
        </w:rPr>
        <w:t>a</w:t>
      </w:r>
      <w:r w:rsidRPr="00F05617">
        <w:rPr>
          <w:rFonts w:ascii="Cambria" w:hAnsi="Cambria"/>
        </w:rPr>
        <w:t>n absolute maximum limit</w:t>
      </w:r>
      <w:r w:rsidR="00741D8E">
        <w:rPr>
          <w:rFonts w:ascii="Cambria" w:hAnsi="Cambria"/>
        </w:rPr>
        <w:t xml:space="preserve">, say of </w:t>
      </w:r>
      <w:r w:rsidRPr="00F05617">
        <w:rPr>
          <w:rFonts w:ascii="Cambria" w:hAnsi="Cambria"/>
        </w:rPr>
        <w:t>60 days</w:t>
      </w:r>
      <w:r w:rsidR="00741D8E">
        <w:rPr>
          <w:rFonts w:ascii="Cambria" w:hAnsi="Cambria"/>
        </w:rPr>
        <w:t>,</w:t>
      </w:r>
      <w:r w:rsidRPr="00F05617">
        <w:rPr>
          <w:rFonts w:ascii="Cambria" w:hAnsi="Cambria"/>
        </w:rPr>
        <w:t xml:space="preserve"> </w:t>
      </w:r>
      <w:r w:rsidR="00741D8E">
        <w:rPr>
          <w:rFonts w:ascii="Cambria" w:hAnsi="Cambria"/>
        </w:rPr>
        <w:t xml:space="preserve">could </w:t>
      </w:r>
      <w:r w:rsidR="00832B02" w:rsidRPr="00F05617">
        <w:rPr>
          <w:rFonts w:ascii="Cambria" w:hAnsi="Cambria"/>
        </w:rPr>
        <w:t xml:space="preserve">be </w:t>
      </w:r>
      <w:r w:rsidR="00741D8E">
        <w:rPr>
          <w:rFonts w:ascii="Cambria" w:hAnsi="Cambria"/>
        </w:rPr>
        <w:t xml:space="preserve">imposed for </w:t>
      </w:r>
      <w:r w:rsidRPr="00F05617">
        <w:rPr>
          <w:rFonts w:ascii="Cambria" w:hAnsi="Cambria"/>
        </w:rPr>
        <w:t xml:space="preserve">responding to requests. </w:t>
      </w:r>
      <w:r w:rsidR="00E35272" w:rsidRPr="00F05617">
        <w:rPr>
          <w:rFonts w:ascii="Cambria" w:hAnsi="Cambria"/>
        </w:rPr>
        <w:t>Slovenia</w:t>
      </w:r>
      <w:r w:rsidR="00F54448" w:rsidRPr="00F05617">
        <w:rPr>
          <w:rFonts w:ascii="Cambria" w:hAnsi="Cambria"/>
        </w:rPr>
        <w:t>, for example,</w:t>
      </w:r>
      <w:r w:rsidR="00E35272" w:rsidRPr="00F05617">
        <w:rPr>
          <w:rFonts w:ascii="Cambria" w:hAnsi="Cambria"/>
        </w:rPr>
        <w:t xml:space="preserve"> allows for extensions of no more than </w:t>
      </w:r>
      <w:r w:rsidR="00F54448" w:rsidRPr="00F05617">
        <w:rPr>
          <w:rFonts w:ascii="Cambria" w:hAnsi="Cambria"/>
        </w:rPr>
        <w:t>30</w:t>
      </w:r>
      <w:r w:rsidR="00741D8E">
        <w:rPr>
          <w:rFonts w:ascii="Cambria" w:hAnsi="Cambria"/>
        </w:rPr>
        <w:t xml:space="preserve"> </w:t>
      </w:r>
      <w:r w:rsidR="00A42166">
        <w:rPr>
          <w:rFonts w:ascii="Cambria" w:hAnsi="Cambria"/>
        </w:rPr>
        <w:t xml:space="preserve">additional </w:t>
      </w:r>
      <w:r w:rsidR="00741D8E">
        <w:rPr>
          <w:rFonts w:ascii="Cambria" w:hAnsi="Cambria"/>
        </w:rPr>
        <w:t>days</w:t>
      </w:r>
      <w:r w:rsidR="00F54448" w:rsidRPr="00F05617">
        <w:rPr>
          <w:rFonts w:ascii="Cambria" w:hAnsi="Cambria"/>
        </w:rPr>
        <w:t xml:space="preserve"> and</w:t>
      </w:r>
      <w:r w:rsidR="00A42166">
        <w:rPr>
          <w:rFonts w:ascii="Cambria" w:hAnsi="Cambria"/>
        </w:rPr>
        <w:t xml:space="preserve"> Sri </w:t>
      </w:r>
      <w:r w:rsidR="00E35272" w:rsidRPr="00F05617">
        <w:rPr>
          <w:rFonts w:ascii="Cambria" w:hAnsi="Cambria"/>
        </w:rPr>
        <w:t xml:space="preserve">Lanka </w:t>
      </w:r>
      <w:r w:rsidR="00F54448" w:rsidRPr="00F05617">
        <w:rPr>
          <w:rFonts w:ascii="Cambria" w:hAnsi="Cambria"/>
        </w:rPr>
        <w:t>requires response</w:t>
      </w:r>
      <w:r w:rsidR="00741D8E">
        <w:rPr>
          <w:rFonts w:ascii="Cambria" w:hAnsi="Cambria"/>
        </w:rPr>
        <w:t>s</w:t>
      </w:r>
      <w:r w:rsidR="00F54448" w:rsidRPr="00F05617">
        <w:rPr>
          <w:rFonts w:ascii="Cambria" w:hAnsi="Cambria"/>
        </w:rPr>
        <w:t xml:space="preserve"> within 14 days</w:t>
      </w:r>
      <w:r w:rsidR="00741D8E">
        <w:rPr>
          <w:rFonts w:ascii="Cambria" w:hAnsi="Cambria"/>
        </w:rPr>
        <w:t xml:space="preserve">, with </w:t>
      </w:r>
      <w:r w:rsidR="00F54448" w:rsidRPr="00F05617">
        <w:rPr>
          <w:rFonts w:ascii="Cambria" w:hAnsi="Cambria"/>
        </w:rPr>
        <w:t xml:space="preserve">an option to extend for no more than 21 </w:t>
      </w:r>
      <w:r w:rsidR="00A42166">
        <w:rPr>
          <w:rFonts w:ascii="Cambria" w:hAnsi="Cambria"/>
        </w:rPr>
        <w:t xml:space="preserve">additional </w:t>
      </w:r>
      <w:r w:rsidR="00F54448" w:rsidRPr="00F05617">
        <w:rPr>
          <w:rFonts w:ascii="Cambria" w:hAnsi="Cambria"/>
        </w:rPr>
        <w:t xml:space="preserve">days. </w:t>
      </w:r>
      <w:r w:rsidR="00741D8E">
        <w:rPr>
          <w:rFonts w:ascii="Cambria" w:hAnsi="Cambria"/>
        </w:rPr>
        <w:t>P</w:t>
      </w:r>
      <w:r w:rsidR="003C3AD2" w:rsidRPr="00F05617">
        <w:rPr>
          <w:rFonts w:ascii="Cambria" w:hAnsi="Cambria"/>
        </w:rPr>
        <w:t xml:space="preserve">enalties for </w:t>
      </w:r>
      <w:r w:rsidR="00741D8E">
        <w:rPr>
          <w:rFonts w:ascii="Cambria" w:hAnsi="Cambria"/>
        </w:rPr>
        <w:t xml:space="preserve">failures to respect the time limits could also </w:t>
      </w:r>
      <w:r w:rsidR="003C3AD2" w:rsidRPr="00F05617">
        <w:rPr>
          <w:rFonts w:ascii="Cambria" w:hAnsi="Cambria"/>
        </w:rPr>
        <w:t xml:space="preserve">be put in place. In Mexico, for example, breaches of the time limits result in an obligation </w:t>
      </w:r>
      <w:r w:rsidR="00741D8E">
        <w:rPr>
          <w:rFonts w:ascii="Cambria" w:hAnsi="Cambria"/>
        </w:rPr>
        <w:t xml:space="preserve">for </w:t>
      </w:r>
      <w:r w:rsidR="003C3AD2" w:rsidRPr="00F05617">
        <w:rPr>
          <w:rFonts w:ascii="Cambria" w:hAnsi="Cambria"/>
        </w:rPr>
        <w:t xml:space="preserve">the public </w:t>
      </w:r>
      <w:r w:rsidR="00741D8E">
        <w:rPr>
          <w:rFonts w:ascii="Cambria" w:hAnsi="Cambria"/>
        </w:rPr>
        <w:t xml:space="preserve">authority </w:t>
      </w:r>
      <w:r w:rsidR="003C3AD2" w:rsidRPr="00F05617">
        <w:rPr>
          <w:rFonts w:ascii="Cambria" w:hAnsi="Cambria"/>
        </w:rPr>
        <w:t xml:space="preserve">to disclose the information, unless the Information Commission allows </w:t>
      </w:r>
      <w:r w:rsidR="008D2122" w:rsidRPr="00F05617">
        <w:rPr>
          <w:rFonts w:ascii="Cambria" w:hAnsi="Cambria"/>
        </w:rPr>
        <w:t>the information to be withheld. I</w:t>
      </w:r>
      <w:r w:rsidR="003C3AD2" w:rsidRPr="00F05617">
        <w:rPr>
          <w:rFonts w:ascii="Cambria" w:hAnsi="Cambria"/>
        </w:rPr>
        <w:t>n Uruguay</w:t>
      </w:r>
      <w:r w:rsidR="008D2122" w:rsidRPr="00F05617">
        <w:rPr>
          <w:rFonts w:ascii="Cambria" w:hAnsi="Cambria"/>
        </w:rPr>
        <w:t>,</w:t>
      </w:r>
      <w:r w:rsidR="003C3AD2" w:rsidRPr="00F05617">
        <w:rPr>
          <w:rFonts w:ascii="Cambria" w:hAnsi="Cambria"/>
        </w:rPr>
        <w:t xml:space="preserve"> when the time limits have been breached, the information must be provided for free and</w:t>
      </w:r>
      <w:r w:rsidR="00741D8E">
        <w:rPr>
          <w:rFonts w:ascii="Cambria" w:hAnsi="Cambria"/>
        </w:rPr>
        <w:t>,</w:t>
      </w:r>
      <w:r w:rsidR="003C3AD2" w:rsidRPr="00F05617">
        <w:rPr>
          <w:rFonts w:ascii="Cambria" w:hAnsi="Cambria"/>
        </w:rPr>
        <w:t xml:space="preserve"> in India, information commissions can impose sanctions on officials who have</w:t>
      </w:r>
      <w:r w:rsidR="00A42166">
        <w:rPr>
          <w:rFonts w:ascii="Cambria" w:hAnsi="Cambria"/>
        </w:rPr>
        <w:t>, in bad faith,</w:t>
      </w:r>
      <w:r w:rsidR="003C3AD2" w:rsidRPr="00F05617">
        <w:rPr>
          <w:rFonts w:ascii="Cambria" w:hAnsi="Cambria"/>
        </w:rPr>
        <w:t xml:space="preserve"> unduly delayed in responding to requests. </w:t>
      </w:r>
    </w:p>
    <w:p w:rsidR="00003361" w:rsidRPr="00F05617" w:rsidRDefault="00003361" w:rsidP="00A3414E">
      <w:pPr>
        <w:jc w:val="both"/>
        <w:rPr>
          <w:rFonts w:ascii="Cambria" w:hAnsi="Cambria"/>
        </w:rPr>
      </w:pPr>
    </w:p>
    <w:p w:rsidR="00741D8E" w:rsidRDefault="003C3AD2" w:rsidP="00A3414E">
      <w:pPr>
        <w:jc w:val="both"/>
        <w:rPr>
          <w:rFonts w:ascii="Cambria" w:hAnsi="Cambria"/>
        </w:rPr>
      </w:pPr>
      <w:r w:rsidRPr="00F05617">
        <w:rPr>
          <w:rFonts w:ascii="Cambria" w:hAnsi="Cambria"/>
        </w:rPr>
        <w:t>The</w:t>
      </w:r>
      <w:r w:rsidR="004F4228" w:rsidRPr="00F05617">
        <w:rPr>
          <w:rFonts w:ascii="Cambria" w:hAnsi="Cambria"/>
        </w:rPr>
        <w:t xml:space="preserve"> ATIA </w:t>
      </w:r>
      <w:r w:rsidRPr="00F05617">
        <w:rPr>
          <w:rFonts w:ascii="Cambria" w:hAnsi="Cambria"/>
        </w:rPr>
        <w:t xml:space="preserve">also falls short </w:t>
      </w:r>
      <w:r w:rsidR="008D2122" w:rsidRPr="00F05617">
        <w:rPr>
          <w:rFonts w:ascii="Cambria" w:hAnsi="Cambria"/>
        </w:rPr>
        <w:t>of</w:t>
      </w:r>
      <w:r w:rsidR="004F4228" w:rsidRPr="00F05617">
        <w:rPr>
          <w:rFonts w:ascii="Cambria" w:hAnsi="Cambria"/>
        </w:rPr>
        <w:t xml:space="preserve"> </w:t>
      </w:r>
      <w:r w:rsidR="00741D8E">
        <w:rPr>
          <w:rFonts w:ascii="Cambria" w:hAnsi="Cambria"/>
        </w:rPr>
        <w:t>international</w:t>
      </w:r>
      <w:r w:rsidR="004F4228" w:rsidRPr="00F05617">
        <w:rPr>
          <w:rFonts w:ascii="Cambria" w:hAnsi="Cambria"/>
        </w:rPr>
        <w:t xml:space="preserve"> standards </w:t>
      </w:r>
      <w:r w:rsidRPr="00F05617">
        <w:rPr>
          <w:rFonts w:ascii="Cambria" w:hAnsi="Cambria"/>
        </w:rPr>
        <w:t xml:space="preserve">in </w:t>
      </w:r>
      <w:r w:rsidR="00A42166">
        <w:rPr>
          <w:rFonts w:ascii="Cambria" w:hAnsi="Cambria"/>
        </w:rPr>
        <w:t>terms</w:t>
      </w:r>
      <w:r w:rsidRPr="00F05617">
        <w:rPr>
          <w:rFonts w:ascii="Cambria" w:hAnsi="Cambria"/>
        </w:rPr>
        <w:t xml:space="preserve"> of</w:t>
      </w:r>
      <w:r w:rsidR="004F4228" w:rsidRPr="00F05617">
        <w:rPr>
          <w:rFonts w:ascii="Cambria" w:hAnsi="Cambria"/>
        </w:rPr>
        <w:t xml:space="preserve"> the cost of access</w:t>
      </w:r>
      <w:r w:rsidR="00A42166">
        <w:rPr>
          <w:rFonts w:ascii="Cambria" w:hAnsi="Cambria"/>
        </w:rPr>
        <w:t>ing</w:t>
      </w:r>
      <w:r w:rsidRPr="00F05617">
        <w:rPr>
          <w:rFonts w:ascii="Cambria" w:hAnsi="Cambria"/>
        </w:rPr>
        <w:t xml:space="preserve"> information</w:t>
      </w:r>
      <w:r w:rsidR="004F4228" w:rsidRPr="00F05617">
        <w:rPr>
          <w:rFonts w:ascii="Cambria" w:hAnsi="Cambria"/>
        </w:rPr>
        <w:t xml:space="preserve">. </w:t>
      </w:r>
      <w:r w:rsidRPr="00F05617">
        <w:rPr>
          <w:rFonts w:ascii="Cambria" w:hAnsi="Cambria"/>
        </w:rPr>
        <w:t xml:space="preserve">International standards hold that </w:t>
      </w:r>
      <w:r w:rsidR="00741D8E">
        <w:rPr>
          <w:rFonts w:ascii="Cambria" w:hAnsi="Cambria"/>
        </w:rPr>
        <w:t xml:space="preserve">no </w:t>
      </w:r>
      <w:r w:rsidR="00003361" w:rsidRPr="00F05617">
        <w:rPr>
          <w:rFonts w:ascii="Cambria" w:hAnsi="Cambria"/>
        </w:rPr>
        <w:t xml:space="preserve">fees should be </w:t>
      </w:r>
      <w:r w:rsidR="00741D8E">
        <w:rPr>
          <w:rFonts w:ascii="Cambria" w:hAnsi="Cambria"/>
        </w:rPr>
        <w:t>imposed simply for ma</w:t>
      </w:r>
      <w:r w:rsidR="00B16B81">
        <w:rPr>
          <w:rFonts w:ascii="Cambria" w:hAnsi="Cambria"/>
        </w:rPr>
        <w:t xml:space="preserve">king a request for information. Bill C-58 allows for fees </w:t>
      </w:r>
      <w:r w:rsidR="00847E85">
        <w:rPr>
          <w:rFonts w:ascii="Cambria" w:hAnsi="Cambria"/>
        </w:rPr>
        <w:t xml:space="preserve">of </w:t>
      </w:r>
      <w:r w:rsidR="00B16B81">
        <w:rPr>
          <w:rFonts w:ascii="Cambria" w:hAnsi="Cambria"/>
        </w:rPr>
        <w:t xml:space="preserve">up to $25 to be charged for lodging a request, and the current fee is set at $5. Abolishing this fee was included in the ETHI Committee Report, </w:t>
      </w:r>
      <w:r w:rsidR="00B16B81" w:rsidRPr="00F05617">
        <w:rPr>
          <w:rFonts w:ascii="Cambria" w:hAnsi="Cambria"/>
        </w:rPr>
        <w:t xml:space="preserve">Recommendation </w:t>
      </w:r>
      <w:r w:rsidR="00B16B81">
        <w:rPr>
          <w:rFonts w:ascii="Cambria" w:hAnsi="Cambria"/>
        </w:rPr>
        <w:t xml:space="preserve">No. </w:t>
      </w:r>
      <w:r w:rsidR="00B16B81" w:rsidRPr="00F05617">
        <w:rPr>
          <w:rFonts w:ascii="Cambria" w:hAnsi="Cambria"/>
        </w:rPr>
        <w:t>14</w:t>
      </w:r>
      <w:r w:rsidR="00B16B81">
        <w:rPr>
          <w:rFonts w:ascii="Cambria" w:hAnsi="Cambria"/>
        </w:rPr>
        <w:t>.</w:t>
      </w:r>
      <w:r w:rsidR="009E455F">
        <w:rPr>
          <w:rFonts w:ascii="Cambria" w:hAnsi="Cambria"/>
        </w:rPr>
        <w:t xml:space="preserve"> T</w:t>
      </w:r>
      <w:r w:rsidR="009E455F" w:rsidRPr="00F05617">
        <w:rPr>
          <w:rFonts w:ascii="Cambria" w:hAnsi="Cambria"/>
        </w:rPr>
        <w:t xml:space="preserve">he collection of these payments </w:t>
      </w:r>
      <w:r w:rsidR="009E455F">
        <w:rPr>
          <w:rFonts w:ascii="Cambria" w:hAnsi="Cambria"/>
        </w:rPr>
        <w:t xml:space="preserve">has been shown to </w:t>
      </w:r>
      <w:r w:rsidR="009E455F" w:rsidRPr="00F05617">
        <w:rPr>
          <w:rFonts w:ascii="Cambria" w:hAnsi="Cambria"/>
        </w:rPr>
        <w:t xml:space="preserve">cost </w:t>
      </w:r>
      <w:r w:rsidR="009E455F">
        <w:rPr>
          <w:rFonts w:ascii="Cambria" w:hAnsi="Cambria"/>
        </w:rPr>
        <w:t xml:space="preserve">far </w:t>
      </w:r>
      <w:r w:rsidR="009E455F" w:rsidRPr="00F05617">
        <w:rPr>
          <w:rFonts w:ascii="Cambria" w:hAnsi="Cambria"/>
        </w:rPr>
        <w:t xml:space="preserve">more </w:t>
      </w:r>
      <w:r w:rsidR="009E455F">
        <w:rPr>
          <w:rFonts w:ascii="Cambria" w:hAnsi="Cambria"/>
        </w:rPr>
        <w:t>than</w:t>
      </w:r>
      <w:r w:rsidR="009E455F" w:rsidRPr="00F05617">
        <w:rPr>
          <w:rFonts w:ascii="Cambria" w:hAnsi="Cambria"/>
        </w:rPr>
        <w:t xml:space="preserve"> the revenue </w:t>
      </w:r>
      <w:r w:rsidR="009E455F">
        <w:rPr>
          <w:rFonts w:ascii="Cambria" w:hAnsi="Cambria"/>
        </w:rPr>
        <w:t>they generate</w:t>
      </w:r>
      <w:r w:rsidR="009E455F" w:rsidRPr="00F05617">
        <w:rPr>
          <w:rFonts w:ascii="Cambria" w:hAnsi="Cambria"/>
        </w:rPr>
        <w:t>. As we have pointed out in previous analyses, the underlying rationale for the fee</w:t>
      </w:r>
      <w:r w:rsidR="009E455F">
        <w:rPr>
          <w:rFonts w:ascii="Cambria" w:hAnsi="Cambria"/>
        </w:rPr>
        <w:t>,</w:t>
      </w:r>
      <w:r w:rsidR="009E455F" w:rsidRPr="00F05617">
        <w:rPr>
          <w:rFonts w:ascii="Cambria" w:hAnsi="Cambria"/>
        </w:rPr>
        <w:t xml:space="preserve"> which is that it deters requests, is both incorrect and undemocratic. </w:t>
      </w:r>
      <w:r w:rsidR="009E455F">
        <w:rPr>
          <w:rFonts w:ascii="Cambria" w:hAnsi="Cambria"/>
        </w:rPr>
        <w:t>C</w:t>
      </w:r>
      <w:r w:rsidR="009E455F" w:rsidRPr="00F05617">
        <w:rPr>
          <w:rFonts w:ascii="Cambria" w:hAnsi="Cambria"/>
        </w:rPr>
        <w:t xml:space="preserve">ountries which </w:t>
      </w:r>
      <w:r w:rsidR="009E455F">
        <w:rPr>
          <w:rFonts w:ascii="Cambria" w:hAnsi="Cambria"/>
        </w:rPr>
        <w:t xml:space="preserve">do not </w:t>
      </w:r>
      <w:r w:rsidR="009E455F" w:rsidRPr="00F05617">
        <w:rPr>
          <w:rFonts w:ascii="Cambria" w:hAnsi="Cambria"/>
        </w:rPr>
        <w:t xml:space="preserve">impose fees </w:t>
      </w:r>
      <w:r w:rsidR="009E455F">
        <w:rPr>
          <w:rFonts w:ascii="Cambria" w:hAnsi="Cambria"/>
        </w:rPr>
        <w:t xml:space="preserve">for making requests have not found </w:t>
      </w:r>
      <w:r w:rsidR="00847E85">
        <w:rPr>
          <w:rFonts w:ascii="Cambria" w:hAnsi="Cambria"/>
        </w:rPr>
        <w:t>that this causes problems. And India, which does charge a fee, has more requests per capita, even given its huge population, than any other country. Closer to home</w:t>
      </w:r>
      <w:r w:rsidR="009E455F">
        <w:rPr>
          <w:rFonts w:ascii="Cambria" w:hAnsi="Cambria"/>
        </w:rPr>
        <w:t>,</w:t>
      </w:r>
      <w:r w:rsidR="009E455F" w:rsidRPr="00F05617">
        <w:rPr>
          <w:rFonts w:ascii="Cambria" w:hAnsi="Cambria"/>
        </w:rPr>
        <w:t xml:space="preserve"> when New Newfoundland and Labrador eliminated the filing fee in 2015, there was no evidence of a stark</w:t>
      </w:r>
      <w:r w:rsidR="00847E85">
        <w:rPr>
          <w:rFonts w:ascii="Cambria" w:hAnsi="Cambria"/>
        </w:rPr>
        <w:t>, let alone</w:t>
      </w:r>
      <w:r w:rsidR="009E455F" w:rsidRPr="00F05617">
        <w:rPr>
          <w:rFonts w:ascii="Cambria" w:hAnsi="Cambria"/>
        </w:rPr>
        <w:t xml:space="preserve"> unmanageable</w:t>
      </w:r>
      <w:r w:rsidR="00847E85">
        <w:rPr>
          <w:rFonts w:ascii="Cambria" w:hAnsi="Cambria"/>
        </w:rPr>
        <w:t>,</w:t>
      </w:r>
      <w:r w:rsidR="009E455F" w:rsidRPr="00F05617">
        <w:rPr>
          <w:rFonts w:ascii="Cambria" w:hAnsi="Cambria"/>
        </w:rPr>
        <w:t xml:space="preserve"> increase in the number of requests.</w:t>
      </w:r>
    </w:p>
    <w:p w:rsidR="00741D8E" w:rsidRDefault="00741D8E" w:rsidP="00A3414E">
      <w:pPr>
        <w:jc w:val="both"/>
        <w:rPr>
          <w:rFonts w:ascii="Cambria" w:hAnsi="Cambria"/>
        </w:rPr>
      </w:pPr>
    </w:p>
    <w:p w:rsidR="00003361" w:rsidRPr="00F05617" w:rsidRDefault="009E455F" w:rsidP="00A3414E">
      <w:pPr>
        <w:jc w:val="both"/>
        <w:rPr>
          <w:rFonts w:ascii="Cambria" w:hAnsi="Cambria"/>
        </w:rPr>
      </w:pPr>
      <w:r>
        <w:rPr>
          <w:rFonts w:ascii="Cambria" w:hAnsi="Cambria"/>
        </w:rPr>
        <w:t>In terms of fees for responding to requests, the elimination of</w:t>
      </w:r>
      <w:r w:rsidRPr="00F05617">
        <w:rPr>
          <w:rFonts w:ascii="Cambria" w:hAnsi="Cambria"/>
        </w:rPr>
        <w:t xml:space="preserve"> all fees for processing requests </w:t>
      </w:r>
      <w:r>
        <w:rPr>
          <w:rFonts w:ascii="Cambria" w:hAnsi="Cambria"/>
        </w:rPr>
        <w:t xml:space="preserve">in the </w:t>
      </w:r>
      <w:r w:rsidRPr="009E455F">
        <w:rPr>
          <w:rFonts w:ascii="Cambria" w:hAnsi="Cambria"/>
        </w:rPr>
        <w:t>Interim Directive on the Administration of the Access to Information Act</w:t>
      </w:r>
      <w:r>
        <w:rPr>
          <w:rFonts w:ascii="Cambria" w:hAnsi="Cambria"/>
        </w:rPr>
        <w:t xml:space="preserve"> </w:t>
      </w:r>
      <w:r w:rsidRPr="00F05617">
        <w:rPr>
          <w:rFonts w:ascii="Cambria" w:hAnsi="Cambria"/>
        </w:rPr>
        <w:t xml:space="preserve">May 2016 Directive </w:t>
      </w:r>
      <w:r w:rsidR="003C3AD2" w:rsidRPr="00F05617">
        <w:rPr>
          <w:rFonts w:ascii="Cambria" w:hAnsi="Cambria"/>
        </w:rPr>
        <w:t xml:space="preserve">was </w:t>
      </w:r>
      <w:r w:rsidR="00847E85">
        <w:rPr>
          <w:rFonts w:ascii="Cambria" w:hAnsi="Cambria"/>
        </w:rPr>
        <w:t xml:space="preserve">very </w:t>
      </w:r>
      <w:r w:rsidR="003C3AD2" w:rsidRPr="00F05617">
        <w:rPr>
          <w:rFonts w:ascii="Cambria" w:hAnsi="Cambria"/>
        </w:rPr>
        <w:t>welcome</w:t>
      </w:r>
      <w:r w:rsidR="002918B9" w:rsidRPr="00F05617">
        <w:rPr>
          <w:rFonts w:ascii="Cambria" w:hAnsi="Cambria"/>
        </w:rPr>
        <w:t>.</w:t>
      </w:r>
      <w:r w:rsidR="00234EE0" w:rsidRPr="00F05617">
        <w:rPr>
          <w:rStyle w:val="FootnoteReference"/>
          <w:rFonts w:ascii="Cambria" w:hAnsi="Cambria"/>
        </w:rPr>
        <w:footnoteReference w:id="20"/>
      </w:r>
      <w:r w:rsidR="00234EE0" w:rsidRPr="00F05617">
        <w:rPr>
          <w:rFonts w:ascii="Cambria" w:hAnsi="Cambria"/>
        </w:rPr>
        <w:t xml:space="preserve"> </w:t>
      </w:r>
      <w:r w:rsidR="00550248" w:rsidRPr="00F05617">
        <w:rPr>
          <w:rFonts w:ascii="Cambria" w:hAnsi="Cambria"/>
        </w:rPr>
        <w:t xml:space="preserve">Unfortunately, Bill C-58 </w:t>
      </w:r>
      <w:r w:rsidR="00550248">
        <w:rPr>
          <w:rFonts w:ascii="Cambria" w:hAnsi="Cambria"/>
        </w:rPr>
        <w:t>does not fully institutionalise this. It would replace</w:t>
      </w:r>
      <w:r w:rsidR="00550248" w:rsidRPr="00F05617">
        <w:rPr>
          <w:rFonts w:ascii="Cambria" w:hAnsi="Cambria"/>
        </w:rPr>
        <w:t xml:space="preserve"> the </w:t>
      </w:r>
      <w:r w:rsidR="00550248">
        <w:rPr>
          <w:rFonts w:ascii="Cambria" w:hAnsi="Cambria"/>
        </w:rPr>
        <w:t xml:space="preserve">current </w:t>
      </w:r>
      <w:r w:rsidR="00550248" w:rsidRPr="00F05617">
        <w:rPr>
          <w:rFonts w:ascii="Cambria" w:hAnsi="Cambria"/>
        </w:rPr>
        <w:t xml:space="preserve">list of </w:t>
      </w:r>
      <w:r w:rsidR="00550248">
        <w:rPr>
          <w:rFonts w:ascii="Cambria" w:hAnsi="Cambria"/>
        </w:rPr>
        <w:t xml:space="preserve">types of </w:t>
      </w:r>
      <w:r w:rsidR="00550248" w:rsidRPr="00F05617">
        <w:rPr>
          <w:rFonts w:ascii="Cambria" w:hAnsi="Cambria"/>
        </w:rPr>
        <w:t xml:space="preserve">additional fees with a </w:t>
      </w:r>
      <w:r w:rsidR="00166B39">
        <w:rPr>
          <w:rFonts w:ascii="Cambria" w:hAnsi="Cambria"/>
        </w:rPr>
        <w:t xml:space="preserve">general </w:t>
      </w:r>
      <w:r w:rsidR="00550248" w:rsidRPr="00F05617">
        <w:rPr>
          <w:rFonts w:ascii="Cambria" w:hAnsi="Cambria"/>
        </w:rPr>
        <w:t>statement that fees may be prescribed by regulation</w:t>
      </w:r>
      <w:r w:rsidR="00166B39">
        <w:rPr>
          <w:rFonts w:ascii="Cambria" w:hAnsi="Cambria"/>
        </w:rPr>
        <w:t>, making</w:t>
      </w:r>
      <w:r w:rsidR="00550248">
        <w:rPr>
          <w:rFonts w:ascii="Cambria" w:hAnsi="Cambria"/>
        </w:rPr>
        <w:t xml:space="preserve"> </w:t>
      </w:r>
      <w:r w:rsidR="00550248" w:rsidRPr="00F05617">
        <w:rPr>
          <w:rFonts w:ascii="Cambria" w:hAnsi="Cambria"/>
        </w:rPr>
        <w:t xml:space="preserve">it possible for fees to be </w:t>
      </w:r>
      <w:r w:rsidR="00550248">
        <w:rPr>
          <w:rFonts w:ascii="Cambria" w:hAnsi="Cambria"/>
        </w:rPr>
        <w:t>reintroduced. T</w:t>
      </w:r>
      <w:r w:rsidR="00550248" w:rsidRPr="00F05617">
        <w:rPr>
          <w:rFonts w:ascii="Cambria" w:hAnsi="Cambria"/>
        </w:rPr>
        <w:t xml:space="preserve">he government </w:t>
      </w:r>
      <w:r w:rsidR="00550248">
        <w:rPr>
          <w:rFonts w:ascii="Cambria" w:hAnsi="Cambria"/>
        </w:rPr>
        <w:t xml:space="preserve">should entrench </w:t>
      </w:r>
      <w:r w:rsidR="00550248" w:rsidRPr="00F05617">
        <w:rPr>
          <w:rFonts w:ascii="Cambria" w:hAnsi="Cambria"/>
        </w:rPr>
        <w:t xml:space="preserve">its promise </w:t>
      </w:r>
      <w:r w:rsidR="00550248">
        <w:rPr>
          <w:rFonts w:ascii="Cambria" w:hAnsi="Cambria"/>
        </w:rPr>
        <w:t xml:space="preserve">to </w:t>
      </w:r>
      <w:r w:rsidR="00166B39">
        <w:rPr>
          <w:rFonts w:ascii="Cambria" w:hAnsi="Cambria"/>
        </w:rPr>
        <w:t xml:space="preserve">eliminate, </w:t>
      </w:r>
      <w:r w:rsidR="00550248" w:rsidRPr="00F05617">
        <w:rPr>
          <w:rFonts w:ascii="Cambria" w:hAnsi="Cambria"/>
        </w:rPr>
        <w:t xml:space="preserve">and </w:t>
      </w:r>
      <w:r w:rsidR="00166B39">
        <w:rPr>
          <w:rFonts w:ascii="Cambria" w:hAnsi="Cambria"/>
        </w:rPr>
        <w:t>current</w:t>
      </w:r>
      <w:r w:rsidR="00550248">
        <w:rPr>
          <w:rFonts w:ascii="Cambria" w:hAnsi="Cambria"/>
        </w:rPr>
        <w:t xml:space="preserve"> </w:t>
      </w:r>
      <w:r w:rsidR="00550248" w:rsidRPr="00F05617">
        <w:rPr>
          <w:rFonts w:ascii="Cambria" w:hAnsi="Cambria"/>
        </w:rPr>
        <w:t xml:space="preserve">policy </w:t>
      </w:r>
      <w:r w:rsidR="00550248">
        <w:rPr>
          <w:rFonts w:ascii="Cambria" w:hAnsi="Cambria"/>
        </w:rPr>
        <w:t>of eliminating</w:t>
      </w:r>
      <w:r w:rsidR="00166B39">
        <w:rPr>
          <w:rFonts w:ascii="Cambria" w:hAnsi="Cambria"/>
        </w:rPr>
        <w:t>,</w:t>
      </w:r>
      <w:r w:rsidR="00550248" w:rsidRPr="00F05617">
        <w:rPr>
          <w:rFonts w:ascii="Cambria" w:hAnsi="Cambria"/>
        </w:rPr>
        <w:t xml:space="preserve"> fees</w:t>
      </w:r>
      <w:r w:rsidR="00550248">
        <w:rPr>
          <w:rFonts w:ascii="Cambria" w:hAnsi="Cambria"/>
        </w:rPr>
        <w:t>. A</w:t>
      </w:r>
      <w:r w:rsidR="00550248" w:rsidRPr="00F05617">
        <w:rPr>
          <w:rFonts w:ascii="Cambria" w:hAnsi="Cambria"/>
        </w:rPr>
        <w:t xml:space="preserve">s </w:t>
      </w:r>
      <w:r w:rsidR="00550248">
        <w:rPr>
          <w:rFonts w:ascii="Cambria" w:hAnsi="Cambria"/>
        </w:rPr>
        <w:t>the Information C</w:t>
      </w:r>
      <w:r w:rsidR="00550248" w:rsidRPr="00F05617">
        <w:rPr>
          <w:rFonts w:ascii="Cambria" w:hAnsi="Cambria"/>
        </w:rPr>
        <w:t xml:space="preserve">ommissioner </w:t>
      </w:r>
      <w:r w:rsidR="00550248">
        <w:rPr>
          <w:rFonts w:ascii="Cambria" w:hAnsi="Cambria"/>
        </w:rPr>
        <w:t>noted, collecting fees</w:t>
      </w:r>
      <w:r w:rsidR="00B71859">
        <w:rPr>
          <w:rFonts w:ascii="Cambria" w:hAnsi="Cambria"/>
        </w:rPr>
        <w:t xml:space="preserve"> is inefficient, causes </w:t>
      </w:r>
      <w:r w:rsidR="00550248" w:rsidRPr="00F05617">
        <w:rPr>
          <w:rFonts w:ascii="Cambria" w:hAnsi="Cambria"/>
        </w:rPr>
        <w:t>delays</w:t>
      </w:r>
      <w:r w:rsidR="00B71859">
        <w:rPr>
          <w:rFonts w:ascii="Cambria" w:hAnsi="Cambria"/>
        </w:rPr>
        <w:t xml:space="preserve">, </w:t>
      </w:r>
      <w:r w:rsidR="00550248" w:rsidRPr="00F05617">
        <w:rPr>
          <w:rFonts w:ascii="Cambria" w:hAnsi="Cambria"/>
        </w:rPr>
        <w:t>increase</w:t>
      </w:r>
      <w:r w:rsidR="00B71859">
        <w:rPr>
          <w:rFonts w:ascii="Cambria" w:hAnsi="Cambria"/>
        </w:rPr>
        <w:t>s the cost of administering</w:t>
      </w:r>
      <w:r w:rsidR="00550248" w:rsidRPr="00F05617">
        <w:rPr>
          <w:rFonts w:ascii="Cambria" w:hAnsi="Cambria"/>
        </w:rPr>
        <w:t xml:space="preserve"> </w:t>
      </w:r>
      <w:r w:rsidR="00B71859">
        <w:rPr>
          <w:rFonts w:ascii="Cambria" w:hAnsi="Cambria"/>
        </w:rPr>
        <w:t>the Act</w:t>
      </w:r>
      <w:r w:rsidR="00550248" w:rsidRPr="00F05617">
        <w:rPr>
          <w:rFonts w:ascii="Cambria" w:hAnsi="Cambria"/>
        </w:rPr>
        <w:t xml:space="preserve"> and </w:t>
      </w:r>
      <w:r w:rsidR="00B71859">
        <w:rPr>
          <w:rFonts w:ascii="Cambria" w:hAnsi="Cambria"/>
        </w:rPr>
        <w:t>is “</w:t>
      </w:r>
      <w:r w:rsidR="00B71859" w:rsidRPr="00B71859">
        <w:rPr>
          <w:rFonts w:ascii="Cambria" w:hAnsi="Cambria"/>
        </w:rPr>
        <w:t>inconsistent with open government principles</w:t>
      </w:r>
      <w:r w:rsidR="00550248" w:rsidRPr="00F05617">
        <w:rPr>
          <w:rFonts w:ascii="Cambria" w:hAnsi="Cambria"/>
        </w:rPr>
        <w:t>”.</w:t>
      </w:r>
      <w:r w:rsidR="00550248" w:rsidRPr="00F05617">
        <w:rPr>
          <w:rStyle w:val="FootnoteReference"/>
          <w:rFonts w:ascii="Cambria" w:hAnsi="Cambria"/>
        </w:rPr>
        <w:footnoteReference w:id="21"/>
      </w:r>
      <w:r w:rsidR="00B71859">
        <w:rPr>
          <w:rFonts w:ascii="Cambria" w:hAnsi="Cambria"/>
        </w:rPr>
        <w:t xml:space="preserve"> At a minimum, the law should respect international standards in this area, which mandate</w:t>
      </w:r>
      <w:r w:rsidR="008D2122" w:rsidRPr="00F05617">
        <w:rPr>
          <w:rFonts w:ascii="Cambria" w:hAnsi="Cambria"/>
        </w:rPr>
        <w:t xml:space="preserve"> that any </w:t>
      </w:r>
      <w:bookmarkStart w:id="4" w:name="_GoBack"/>
      <w:bookmarkEnd w:id="4"/>
      <w:r w:rsidR="008D2122" w:rsidRPr="00F05617">
        <w:rPr>
          <w:rFonts w:ascii="Cambria" w:hAnsi="Cambria"/>
        </w:rPr>
        <w:t>fees related</w:t>
      </w:r>
      <w:r w:rsidR="007E6EE5" w:rsidRPr="00F05617">
        <w:rPr>
          <w:rFonts w:ascii="Cambria" w:hAnsi="Cambria"/>
        </w:rPr>
        <w:t xml:space="preserve"> to information requests </w:t>
      </w:r>
      <w:r w:rsidR="00B71859">
        <w:rPr>
          <w:rFonts w:ascii="Cambria" w:hAnsi="Cambria"/>
        </w:rPr>
        <w:t xml:space="preserve">should </w:t>
      </w:r>
      <w:r w:rsidR="007E6EE5" w:rsidRPr="00F05617">
        <w:rPr>
          <w:rFonts w:ascii="Cambria" w:hAnsi="Cambria"/>
        </w:rPr>
        <w:t>be limited to the cost</w:t>
      </w:r>
      <w:r w:rsidR="00A61F6F" w:rsidRPr="00F05617">
        <w:rPr>
          <w:rFonts w:ascii="Cambria" w:hAnsi="Cambria"/>
        </w:rPr>
        <w:t xml:space="preserve"> of reproduction and delivery of the </w:t>
      </w:r>
      <w:r w:rsidR="00003361" w:rsidRPr="00F05617">
        <w:rPr>
          <w:rFonts w:ascii="Cambria" w:hAnsi="Cambria"/>
        </w:rPr>
        <w:t>information (i.e</w:t>
      </w:r>
      <w:r w:rsidR="00A61F6F" w:rsidRPr="00F05617">
        <w:rPr>
          <w:rFonts w:ascii="Cambria" w:hAnsi="Cambria"/>
        </w:rPr>
        <w:t>.</w:t>
      </w:r>
      <w:r w:rsidR="00003361" w:rsidRPr="00F05617">
        <w:rPr>
          <w:rFonts w:ascii="Cambria" w:hAnsi="Cambria"/>
        </w:rPr>
        <w:t xml:space="preserve"> photocopying </w:t>
      </w:r>
      <w:r w:rsidR="00A61F6F" w:rsidRPr="00F05617">
        <w:rPr>
          <w:rFonts w:ascii="Cambria" w:hAnsi="Cambria"/>
        </w:rPr>
        <w:t>and/</w:t>
      </w:r>
      <w:r w:rsidR="00003361" w:rsidRPr="00F05617">
        <w:rPr>
          <w:rFonts w:ascii="Cambria" w:hAnsi="Cambria"/>
        </w:rPr>
        <w:t>or</w:t>
      </w:r>
      <w:r w:rsidR="00A61F6F" w:rsidRPr="00F05617">
        <w:rPr>
          <w:rFonts w:ascii="Cambria" w:hAnsi="Cambria"/>
        </w:rPr>
        <w:t xml:space="preserve"> </w:t>
      </w:r>
      <w:r w:rsidR="00B71859">
        <w:rPr>
          <w:rFonts w:ascii="Cambria" w:hAnsi="Cambria"/>
        </w:rPr>
        <w:t>postage).</w:t>
      </w:r>
    </w:p>
    <w:p w:rsidR="000656FD" w:rsidRPr="00F05617" w:rsidRDefault="000656FD" w:rsidP="000656FD">
      <w:pPr>
        <w:jc w:val="both"/>
        <w:rPr>
          <w:rFonts w:ascii="Cambria" w:hAnsi="Cambria"/>
        </w:rPr>
      </w:pPr>
    </w:p>
    <w:p w:rsidR="005A2A19" w:rsidRDefault="009E75A1" w:rsidP="000656FD">
      <w:pPr>
        <w:jc w:val="both"/>
        <w:rPr>
          <w:rFonts w:ascii="Cambria" w:hAnsi="Cambria"/>
          <w:lang w:val="en-CA"/>
        </w:rPr>
      </w:pPr>
      <w:r w:rsidRPr="00F05617">
        <w:rPr>
          <w:rFonts w:ascii="Cambria" w:hAnsi="Cambria"/>
        </w:rPr>
        <w:t xml:space="preserve">Bill C-58 </w:t>
      </w:r>
      <w:r w:rsidR="00B71859">
        <w:rPr>
          <w:rFonts w:ascii="Cambria" w:hAnsi="Cambria"/>
        </w:rPr>
        <w:t xml:space="preserve">has also made it more complicated to make a </w:t>
      </w:r>
      <w:r w:rsidR="00C1183C" w:rsidRPr="00F05617">
        <w:rPr>
          <w:rFonts w:ascii="Cambria" w:hAnsi="Cambria"/>
        </w:rPr>
        <w:t>request</w:t>
      </w:r>
      <w:r w:rsidRPr="00F05617">
        <w:rPr>
          <w:rFonts w:ascii="Cambria" w:hAnsi="Cambria"/>
        </w:rPr>
        <w:t xml:space="preserve"> </w:t>
      </w:r>
      <w:r w:rsidR="00B71859">
        <w:rPr>
          <w:rFonts w:ascii="Cambria" w:hAnsi="Cambria"/>
        </w:rPr>
        <w:t xml:space="preserve">for </w:t>
      </w:r>
      <w:r w:rsidRPr="00F05617">
        <w:rPr>
          <w:rFonts w:ascii="Cambria" w:hAnsi="Cambria"/>
        </w:rPr>
        <w:t xml:space="preserve">information, </w:t>
      </w:r>
      <w:r w:rsidR="00B71859">
        <w:rPr>
          <w:rFonts w:ascii="Cambria" w:hAnsi="Cambria"/>
        </w:rPr>
        <w:t xml:space="preserve">contrary to international standards </w:t>
      </w:r>
      <w:r w:rsidR="00166B39">
        <w:rPr>
          <w:rFonts w:ascii="Cambria" w:hAnsi="Cambria"/>
        </w:rPr>
        <w:t>which</w:t>
      </w:r>
      <w:r w:rsidR="00B71859">
        <w:rPr>
          <w:rFonts w:ascii="Cambria" w:hAnsi="Cambria"/>
        </w:rPr>
        <w:t xml:space="preserve"> call for </w:t>
      </w:r>
      <w:r w:rsidRPr="00F05617">
        <w:rPr>
          <w:rFonts w:ascii="Cambria" w:hAnsi="Cambria"/>
        </w:rPr>
        <w:t xml:space="preserve">clear and relatively simple procedures </w:t>
      </w:r>
      <w:r w:rsidR="00B71859">
        <w:rPr>
          <w:rFonts w:ascii="Cambria" w:hAnsi="Cambria"/>
        </w:rPr>
        <w:t xml:space="preserve">for both making requests. </w:t>
      </w:r>
      <w:r w:rsidR="00C1183C" w:rsidRPr="00F05617">
        <w:rPr>
          <w:rFonts w:ascii="Cambria" w:hAnsi="Cambria"/>
          <w:lang w:val="en-CA"/>
        </w:rPr>
        <w:t xml:space="preserve">Currently, </w:t>
      </w:r>
      <w:r w:rsidR="00B71859">
        <w:rPr>
          <w:rFonts w:ascii="Cambria" w:hAnsi="Cambria"/>
          <w:lang w:val="en-CA"/>
        </w:rPr>
        <w:t xml:space="preserve">section 6 of </w:t>
      </w:r>
      <w:r w:rsidR="00C1183C" w:rsidRPr="00F05617">
        <w:rPr>
          <w:rFonts w:ascii="Cambria" w:hAnsi="Cambria"/>
          <w:lang w:val="en-CA"/>
        </w:rPr>
        <w:t xml:space="preserve">the Act </w:t>
      </w:r>
      <w:r w:rsidR="00B71859">
        <w:rPr>
          <w:rFonts w:ascii="Cambria" w:hAnsi="Cambria"/>
          <w:lang w:val="en-CA"/>
        </w:rPr>
        <w:t xml:space="preserve">only requires </w:t>
      </w:r>
      <w:r w:rsidRPr="00F05617">
        <w:rPr>
          <w:rFonts w:ascii="Cambria" w:hAnsi="Cambria"/>
          <w:lang w:val="en-CA"/>
        </w:rPr>
        <w:t>requester</w:t>
      </w:r>
      <w:r w:rsidR="00B71859">
        <w:rPr>
          <w:rFonts w:ascii="Cambria" w:hAnsi="Cambria"/>
          <w:lang w:val="en-CA"/>
        </w:rPr>
        <w:t>s</w:t>
      </w:r>
      <w:r w:rsidRPr="00F05617">
        <w:rPr>
          <w:rFonts w:ascii="Cambria" w:hAnsi="Cambria"/>
          <w:lang w:val="en-CA"/>
        </w:rPr>
        <w:t xml:space="preserve"> </w:t>
      </w:r>
      <w:r w:rsidR="00166B39">
        <w:rPr>
          <w:rFonts w:ascii="Cambria" w:hAnsi="Cambria"/>
          <w:lang w:val="en-CA"/>
        </w:rPr>
        <w:t xml:space="preserve">to </w:t>
      </w:r>
      <w:r w:rsidRPr="00F05617">
        <w:rPr>
          <w:rFonts w:ascii="Cambria" w:hAnsi="Cambria"/>
          <w:lang w:val="en-CA"/>
        </w:rPr>
        <w:t xml:space="preserve">provide </w:t>
      </w:r>
      <w:r w:rsidR="00B71859">
        <w:rPr>
          <w:rFonts w:ascii="Cambria" w:hAnsi="Cambria"/>
          <w:lang w:val="en-CA"/>
        </w:rPr>
        <w:t xml:space="preserve">a </w:t>
      </w:r>
      <w:r w:rsidRPr="00F05617">
        <w:rPr>
          <w:rFonts w:ascii="Cambria" w:hAnsi="Cambria"/>
          <w:lang w:val="en-CA"/>
        </w:rPr>
        <w:lastRenderedPageBreak/>
        <w:t xml:space="preserve">sufficient </w:t>
      </w:r>
      <w:r w:rsidR="00B71859">
        <w:rPr>
          <w:rFonts w:ascii="Cambria" w:hAnsi="Cambria"/>
          <w:lang w:val="en-CA"/>
        </w:rPr>
        <w:t xml:space="preserve">description of the information sought </w:t>
      </w:r>
      <w:r w:rsidRPr="00F05617">
        <w:rPr>
          <w:rFonts w:ascii="Cambria" w:hAnsi="Cambria"/>
          <w:lang w:val="en-CA"/>
        </w:rPr>
        <w:t xml:space="preserve">so that an experienced employee can, with a reasonable effort, identify the record. </w:t>
      </w:r>
      <w:r w:rsidR="00C1183C" w:rsidRPr="00F05617">
        <w:rPr>
          <w:rFonts w:ascii="Cambria" w:hAnsi="Cambria"/>
          <w:lang w:val="en-CA"/>
        </w:rPr>
        <w:t>Bill C-58</w:t>
      </w:r>
      <w:r w:rsidR="008B3EF4" w:rsidRPr="00F05617">
        <w:rPr>
          <w:rFonts w:ascii="Cambria" w:hAnsi="Cambria"/>
          <w:lang w:val="en-CA"/>
        </w:rPr>
        <w:t xml:space="preserve"> </w:t>
      </w:r>
      <w:r w:rsidR="00B71859">
        <w:rPr>
          <w:rFonts w:ascii="Cambria" w:hAnsi="Cambria"/>
          <w:lang w:val="en-CA"/>
        </w:rPr>
        <w:t xml:space="preserve">would complicate this by </w:t>
      </w:r>
      <w:r w:rsidR="000B7280">
        <w:rPr>
          <w:rFonts w:ascii="Cambria" w:hAnsi="Cambria"/>
          <w:lang w:val="en-CA"/>
        </w:rPr>
        <w:t>amending section 6 to require</w:t>
      </w:r>
      <w:r w:rsidR="008B3EF4" w:rsidRPr="00F05617">
        <w:rPr>
          <w:rFonts w:ascii="Cambria" w:hAnsi="Cambria"/>
          <w:lang w:val="en-CA"/>
        </w:rPr>
        <w:t xml:space="preserve"> requester</w:t>
      </w:r>
      <w:r w:rsidR="00B71859">
        <w:rPr>
          <w:rFonts w:ascii="Cambria" w:hAnsi="Cambria"/>
          <w:lang w:val="en-CA"/>
        </w:rPr>
        <w:t>s</w:t>
      </w:r>
      <w:r w:rsidR="008B3EF4" w:rsidRPr="00F05617">
        <w:rPr>
          <w:rFonts w:ascii="Cambria" w:hAnsi="Cambria"/>
          <w:lang w:val="en-CA"/>
        </w:rPr>
        <w:t xml:space="preserve"> </w:t>
      </w:r>
      <w:r w:rsidR="00B71859">
        <w:rPr>
          <w:rFonts w:ascii="Cambria" w:hAnsi="Cambria"/>
          <w:lang w:val="en-CA"/>
        </w:rPr>
        <w:t xml:space="preserve">to </w:t>
      </w:r>
      <w:r w:rsidR="008B3EF4" w:rsidRPr="00F05617">
        <w:rPr>
          <w:rFonts w:ascii="Cambria" w:hAnsi="Cambria"/>
          <w:lang w:val="en-CA"/>
        </w:rPr>
        <w:t xml:space="preserve">provide: (a) the specific subject matter of the request; (b) the type of record being requested; and (c) the period for which the record is being requested or the date of the record. </w:t>
      </w:r>
      <w:r w:rsidR="005A2A19">
        <w:rPr>
          <w:rFonts w:ascii="Cambria" w:hAnsi="Cambria"/>
          <w:lang w:val="en-CA"/>
        </w:rPr>
        <w:t xml:space="preserve">Section </w:t>
      </w:r>
      <w:r w:rsidR="005A2A19" w:rsidRPr="00F05617">
        <w:rPr>
          <w:rFonts w:ascii="Cambria" w:hAnsi="Cambria"/>
          <w:lang w:val="en-CA"/>
        </w:rPr>
        <w:t xml:space="preserve">6.1(1)(a) </w:t>
      </w:r>
      <w:r w:rsidR="00B71859">
        <w:rPr>
          <w:rFonts w:ascii="Cambria" w:hAnsi="Cambria"/>
          <w:lang w:val="en-CA"/>
        </w:rPr>
        <w:t xml:space="preserve">would </w:t>
      </w:r>
      <w:r w:rsidR="00C524B6">
        <w:rPr>
          <w:rFonts w:ascii="Cambria" w:hAnsi="Cambria"/>
          <w:lang w:val="en-CA"/>
        </w:rPr>
        <w:t>then</w:t>
      </w:r>
      <w:r w:rsidR="00B71859">
        <w:rPr>
          <w:rFonts w:ascii="Cambria" w:hAnsi="Cambria"/>
          <w:lang w:val="en-CA"/>
        </w:rPr>
        <w:t xml:space="preserve"> </w:t>
      </w:r>
      <w:r w:rsidR="005A2A19">
        <w:rPr>
          <w:rFonts w:ascii="Cambria" w:hAnsi="Cambria"/>
          <w:lang w:val="en-CA"/>
        </w:rPr>
        <w:t xml:space="preserve">allow </w:t>
      </w:r>
      <w:r w:rsidR="008B3EF4" w:rsidRPr="00F05617">
        <w:rPr>
          <w:rFonts w:ascii="Cambria" w:hAnsi="Cambria"/>
          <w:lang w:val="en-CA"/>
        </w:rPr>
        <w:t xml:space="preserve">public </w:t>
      </w:r>
      <w:r w:rsidR="005A2A19">
        <w:rPr>
          <w:rFonts w:ascii="Cambria" w:hAnsi="Cambria"/>
          <w:lang w:val="en-CA"/>
        </w:rPr>
        <w:t xml:space="preserve">authorities to </w:t>
      </w:r>
      <w:r w:rsidR="008B3EF4" w:rsidRPr="00F05617">
        <w:rPr>
          <w:rFonts w:ascii="Cambria" w:hAnsi="Cambria"/>
          <w:lang w:val="en-CA"/>
        </w:rPr>
        <w:t xml:space="preserve">refuse to respond to requests if </w:t>
      </w:r>
      <w:r w:rsidR="005A2A19">
        <w:rPr>
          <w:rFonts w:ascii="Cambria" w:hAnsi="Cambria"/>
          <w:lang w:val="en-CA"/>
        </w:rPr>
        <w:t>an</w:t>
      </w:r>
      <w:r w:rsidR="00C524B6">
        <w:rPr>
          <w:rFonts w:ascii="Cambria" w:hAnsi="Cambria"/>
          <w:lang w:val="en-CA"/>
        </w:rPr>
        <w:t>y</w:t>
      </w:r>
      <w:r w:rsidR="005A2A19">
        <w:rPr>
          <w:rFonts w:ascii="Cambria" w:hAnsi="Cambria"/>
          <w:lang w:val="en-CA"/>
        </w:rPr>
        <w:t xml:space="preserve"> </w:t>
      </w:r>
      <w:r w:rsidR="008B3EF4" w:rsidRPr="00F05617">
        <w:rPr>
          <w:rFonts w:ascii="Cambria" w:hAnsi="Cambria"/>
          <w:lang w:val="en-CA"/>
        </w:rPr>
        <w:t xml:space="preserve">one of these </w:t>
      </w:r>
      <w:r w:rsidR="005A2A19">
        <w:rPr>
          <w:rFonts w:ascii="Cambria" w:hAnsi="Cambria"/>
          <w:lang w:val="en-CA"/>
        </w:rPr>
        <w:t>was missing</w:t>
      </w:r>
      <w:r w:rsidR="008B3EF4" w:rsidRPr="00F05617">
        <w:rPr>
          <w:rFonts w:ascii="Cambria" w:hAnsi="Cambria"/>
          <w:lang w:val="en-CA"/>
        </w:rPr>
        <w:t xml:space="preserve">. </w:t>
      </w:r>
    </w:p>
    <w:p w:rsidR="005A2A19" w:rsidRDefault="005A2A19" w:rsidP="000656FD">
      <w:pPr>
        <w:jc w:val="both"/>
        <w:rPr>
          <w:rFonts w:ascii="Cambria" w:hAnsi="Cambria"/>
          <w:lang w:val="en-CA"/>
        </w:rPr>
      </w:pPr>
    </w:p>
    <w:p w:rsidR="009E75A1" w:rsidRPr="00F05617" w:rsidRDefault="004A2B6A" w:rsidP="000656FD">
      <w:pPr>
        <w:jc w:val="both"/>
        <w:rPr>
          <w:rFonts w:ascii="Cambria" w:hAnsi="Cambria"/>
          <w:lang w:val="en-CA"/>
        </w:rPr>
      </w:pPr>
      <w:r w:rsidRPr="00F05617">
        <w:rPr>
          <w:rFonts w:ascii="Cambria" w:hAnsi="Cambria"/>
          <w:lang w:val="en-CA"/>
        </w:rPr>
        <w:t>These criteria</w:t>
      </w:r>
      <w:r w:rsidR="008B3EF4" w:rsidRPr="00F05617">
        <w:rPr>
          <w:rFonts w:ascii="Cambria" w:hAnsi="Cambria"/>
          <w:lang w:val="en-CA"/>
        </w:rPr>
        <w:t xml:space="preserve"> </w:t>
      </w:r>
      <w:r w:rsidRPr="00F05617">
        <w:rPr>
          <w:rFonts w:ascii="Cambria" w:hAnsi="Cambria"/>
          <w:lang w:val="en-CA"/>
        </w:rPr>
        <w:t>are too</w:t>
      </w:r>
      <w:r w:rsidR="008B3EF4" w:rsidRPr="00F05617">
        <w:rPr>
          <w:rFonts w:ascii="Cambria" w:hAnsi="Cambria"/>
          <w:lang w:val="en-CA"/>
        </w:rPr>
        <w:t xml:space="preserve"> </w:t>
      </w:r>
      <w:r w:rsidRPr="00F05617">
        <w:rPr>
          <w:rFonts w:ascii="Cambria" w:hAnsi="Cambria"/>
          <w:lang w:val="en-CA"/>
        </w:rPr>
        <w:t>specific</w:t>
      </w:r>
      <w:r w:rsidR="005A2A19">
        <w:rPr>
          <w:rFonts w:ascii="Cambria" w:hAnsi="Cambria"/>
          <w:lang w:val="en-CA"/>
        </w:rPr>
        <w:t xml:space="preserve"> and create</w:t>
      </w:r>
      <w:r w:rsidR="005A2A19" w:rsidRPr="00F05617">
        <w:rPr>
          <w:rFonts w:ascii="Cambria" w:hAnsi="Cambria"/>
          <w:lang w:val="en-CA"/>
        </w:rPr>
        <w:t xml:space="preserve"> </w:t>
      </w:r>
      <w:r w:rsidR="00C524B6">
        <w:rPr>
          <w:rFonts w:ascii="Cambria" w:hAnsi="Cambria"/>
          <w:lang w:val="en-CA"/>
        </w:rPr>
        <w:t>unnecessary</w:t>
      </w:r>
      <w:r w:rsidR="005A2A19" w:rsidRPr="00F05617">
        <w:rPr>
          <w:rFonts w:ascii="Cambria" w:hAnsi="Cambria"/>
          <w:lang w:val="en-CA"/>
        </w:rPr>
        <w:t xml:space="preserve"> barrier</w:t>
      </w:r>
      <w:r w:rsidR="005A2A19">
        <w:rPr>
          <w:rFonts w:ascii="Cambria" w:hAnsi="Cambria"/>
          <w:lang w:val="en-CA"/>
        </w:rPr>
        <w:t>s</w:t>
      </w:r>
      <w:r w:rsidR="005A2A19" w:rsidRPr="00F05617">
        <w:rPr>
          <w:rFonts w:ascii="Cambria" w:hAnsi="Cambria"/>
          <w:lang w:val="en-CA"/>
        </w:rPr>
        <w:t xml:space="preserve"> to access</w:t>
      </w:r>
      <w:r w:rsidRPr="00F05617">
        <w:rPr>
          <w:rFonts w:ascii="Cambria" w:hAnsi="Cambria"/>
          <w:lang w:val="en-CA"/>
        </w:rPr>
        <w:t xml:space="preserve">. </w:t>
      </w:r>
      <w:r w:rsidR="005A2A19">
        <w:rPr>
          <w:rFonts w:ascii="Cambria" w:hAnsi="Cambria"/>
          <w:lang w:val="en-CA"/>
        </w:rPr>
        <w:t>I</w:t>
      </w:r>
      <w:r w:rsidRPr="00F05617">
        <w:rPr>
          <w:rFonts w:ascii="Cambria" w:hAnsi="Cambria"/>
          <w:lang w:val="en-CA"/>
        </w:rPr>
        <w:t xml:space="preserve">ndividual </w:t>
      </w:r>
      <w:r w:rsidR="005A2A19">
        <w:rPr>
          <w:rFonts w:ascii="Cambria" w:hAnsi="Cambria"/>
          <w:lang w:val="en-CA"/>
        </w:rPr>
        <w:t xml:space="preserve">do not always </w:t>
      </w:r>
      <w:r w:rsidRPr="00F05617">
        <w:rPr>
          <w:rFonts w:ascii="Cambria" w:hAnsi="Cambria"/>
          <w:lang w:val="en-CA"/>
        </w:rPr>
        <w:t>know the exact type of record they are looking for</w:t>
      </w:r>
      <w:r w:rsidR="005A2A19">
        <w:rPr>
          <w:rFonts w:ascii="Cambria" w:hAnsi="Cambria"/>
          <w:lang w:val="en-CA"/>
        </w:rPr>
        <w:t>. Indeed</w:t>
      </w:r>
      <w:r w:rsidRPr="00F05617">
        <w:rPr>
          <w:rFonts w:ascii="Cambria" w:hAnsi="Cambria"/>
          <w:lang w:val="en-CA"/>
        </w:rPr>
        <w:t xml:space="preserve">, </w:t>
      </w:r>
      <w:r w:rsidR="005A2A19">
        <w:rPr>
          <w:rFonts w:ascii="Cambria" w:hAnsi="Cambria"/>
          <w:lang w:val="en-CA"/>
        </w:rPr>
        <w:t>Bill C-58 makes this more difficult by removing the current requirement, in section 5(1)(b) of the ATIA, for public authorities to publish, “</w:t>
      </w:r>
      <w:r w:rsidR="005A2A19" w:rsidRPr="005A2A19">
        <w:rPr>
          <w:rFonts w:ascii="Cambria" w:hAnsi="Cambria"/>
          <w:lang w:val="en-CA"/>
        </w:rPr>
        <w:t>a description of all classes of records under the control of each government institution in sufficient detail to facilitate the exercise of the right of access under this Act</w:t>
      </w:r>
      <w:r w:rsidR="005A2A19">
        <w:rPr>
          <w:rFonts w:ascii="Cambria" w:hAnsi="Cambria"/>
          <w:lang w:val="en-CA"/>
        </w:rPr>
        <w:t xml:space="preserve">”. </w:t>
      </w:r>
      <w:r w:rsidR="00C524B6">
        <w:rPr>
          <w:rFonts w:ascii="Cambria" w:hAnsi="Cambria"/>
          <w:lang w:val="en-CA"/>
        </w:rPr>
        <w:t>Requesters also do not</w:t>
      </w:r>
      <w:r w:rsidR="00C1183C" w:rsidRPr="00F05617">
        <w:rPr>
          <w:rFonts w:ascii="Cambria" w:hAnsi="Cambria"/>
          <w:lang w:val="en-CA"/>
        </w:rPr>
        <w:t xml:space="preserve"> always know the date or period of time for the record that pertain</w:t>
      </w:r>
      <w:r w:rsidR="00EF5182">
        <w:rPr>
          <w:rFonts w:ascii="Cambria" w:hAnsi="Cambria"/>
          <w:lang w:val="en-CA"/>
        </w:rPr>
        <w:t>s to the information they seek. I</w:t>
      </w:r>
      <w:r w:rsidR="00925B31" w:rsidRPr="00F05617">
        <w:rPr>
          <w:rFonts w:ascii="Cambria" w:hAnsi="Cambria"/>
          <w:lang w:val="en-CA"/>
        </w:rPr>
        <w:t xml:space="preserve">n fact, </w:t>
      </w:r>
      <w:r w:rsidR="00C1183C" w:rsidRPr="00F05617">
        <w:rPr>
          <w:rFonts w:ascii="Cambria" w:hAnsi="Cambria"/>
          <w:lang w:val="en-CA"/>
        </w:rPr>
        <w:t>the date or period of time may itself be the information they seek. This amendment should be abandoned.</w:t>
      </w:r>
    </w:p>
    <w:p w:rsidR="00687D2C" w:rsidRPr="00F05617" w:rsidRDefault="00687D2C" w:rsidP="00687D2C">
      <w:pPr>
        <w:jc w:val="both"/>
        <w:rPr>
          <w:rFonts w:ascii="Cambria" w:hAnsi="Cambria"/>
        </w:rPr>
      </w:pPr>
    </w:p>
    <w:p w:rsidR="00687D2C" w:rsidRDefault="00687D2C" w:rsidP="00EB5F58">
      <w:pPr>
        <w:jc w:val="both"/>
        <w:rPr>
          <w:rFonts w:ascii="Cambria" w:hAnsi="Cambria"/>
          <w:b/>
          <w:sz w:val="28"/>
          <w:szCs w:val="28"/>
        </w:rPr>
      </w:pPr>
      <w:r>
        <w:rPr>
          <w:rFonts w:ascii="Cambria" w:hAnsi="Cambria"/>
        </w:rPr>
        <w:t>As noted above, t</w:t>
      </w:r>
      <w:r w:rsidRPr="00F05617">
        <w:rPr>
          <w:rFonts w:ascii="Cambria" w:hAnsi="Cambria"/>
        </w:rPr>
        <w:t xml:space="preserve">he June version of Bill C-58 allowed public authorities, of their own accord, </w:t>
      </w:r>
      <w:r w:rsidR="00EB5F58">
        <w:rPr>
          <w:rFonts w:ascii="Cambria" w:hAnsi="Cambria"/>
        </w:rPr>
        <w:t xml:space="preserve">to </w:t>
      </w:r>
      <w:r w:rsidRPr="00F05617">
        <w:rPr>
          <w:rFonts w:ascii="Cambria" w:hAnsi="Cambria"/>
        </w:rPr>
        <w:t xml:space="preserve">ignore information requests that they deem to be frivolous or vexatious, or </w:t>
      </w:r>
      <w:r w:rsidR="00EB5F58">
        <w:rPr>
          <w:rFonts w:ascii="Cambria" w:hAnsi="Cambria"/>
        </w:rPr>
        <w:t xml:space="preserve">which they considered meeting </w:t>
      </w:r>
      <w:r w:rsidRPr="00F05617">
        <w:rPr>
          <w:rFonts w:ascii="Cambria" w:hAnsi="Cambria"/>
        </w:rPr>
        <w:t>would unreasonably interfere with the</w:t>
      </w:r>
      <w:r w:rsidR="00EB5F58">
        <w:rPr>
          <w:rFonts w:ascii="Cambria" w:hAnsi="Cambria"/>
        </w:rPr>
        <w:t>ir</w:t>
      </w:r>
      <w:r w:rsidRPr="00F05617">
        <w:rPr>
          <w:rFonts w:ascii="Cambria" w:hAnsi="Cambria"/>
        </w:rPr>
        <w:t xml:space="preserve"> operations. </w:t>
      </w:r>
      <w:r w:rsidR="00EB5F58">
        <w:rPr>
          <w:rFonts w:ascii="Cambria" w:hAnsi="Cambria"/>
        </w:rPr>
        <w:t xml:space="preserve">This has now been amended to require the written </w:t>
      </w:r>
      <w:r w:rsidRPr="00F05617">
        <w:rPr>
          <w:rFonts w:ascii="Cambria" w:hAnsi="Cambria"/>
        </w:rPr>
        <w:t>consent of the Information Commissioner</w:t>
      </w:r>
      <w:r w:rsidR="00EB5F58">
        <w:rPr>
          <w:rFonts w:ascii="Cambria" w:hAnsi="Cambria"/>
        </w:rPr>
        <w:t>, a change CLD supports</w:t>
      </w:r>
      <w:r w:rsidRPr="00F05617">
        <w:rPr>
          <w:rFonts w:ascii="Cambria" w:hAnsi="Cambria"/>
        </w:rPr>
        <w:t xml:space="preserve">. </w:t>
      </w:r>
    </w:p>
    <w:p w:rsidR="000656FD" w:rsidRPr="00F05617" w:rsidRDefault="000656FD">
      <w:pPr>
        <w:rPr>
          <w:rFonts w:ascii="Cambria" w:hAnsi="Cambria"/>
          <w:b/>
          <w:sz w:val="28"/>
          <w:szCs w:val="28"/>
        </w:rPr>
      </w:pPr>
    </w:p>
    <w:p w:rsidR="00AE2466" w:rsidRPr="007A21F9" w:rsidRDefault="00E20638" w:rsidP="007A21F9">
      <w:pPr>
        <w:pStyle w:val="Heading1"/>
        <w:rPr>
          <w:rFonts w:asciiTheme="minorHAnsi" w:hAnsiTheme="minorHAnsi"/>
          <w:sz w:val="28"/>
        </w:rPr>
      </w:pPr>
      <w:r w:rsidRPr="007A21F9">
        <w:rPr>
          <w:rFonts w:asciiTheme="minorHAnsi" w:hAnsiTheme="minorHAnsi"/>
          <w:sz w:val="28"/>
        </w:rPr>
        <w:t>Exceptions</w:t>
      </w:r>
    </w:p>
    <w:p w:rsidR="00986D5C" w:rsidRPr="00F05617" w:rsidRDefault="00951B3B" w:rsidP="00A3414E">
      <w:pPr>
        <w:pStyle w:val="c-article-bodytext"/>
        <w:spacing w:before="0" w:beforeAutospacing="0" w:after="0" w:afterAutospacing="0"/>
        <w:jc w:val="both"/>
        <w:rPr>
          <w:rFonts w:ascii="Cambria" w:hAnsi="Cambria"/>
          <w:lang w:val="en-GB"/>
        </w:rPr>
      </w:pPr>
      <w:r w:rsidRPr="00F05617">
        <w:rPr>
          <w:rFonts w:ascii="Cambria" w:hAnsi="Cambria"/>
          <w:lang w:val="en-GB"/>
        </w:rPr>
        <w:t xml:space="preserve">An RTI law should be based on a specific presumption in favour of access to </w:t>
      </w:r>
      <w:r w:rsidR="000C3181" w:rsidRPr="00F05617">
        <w:rPr>
          <w:rFonts w:ascii="Cambria" w:hAnsi="Cambria"/>
          <w:lang w:val="en-GB"/>
        </w:rPr>
        <w:t xml:space="preserve">any and </w:t>
      </w:r>
      <w:r w:rsidR="00F43B24" w:rsidRPr="00F05617">
        <w:rPr>
          <w:rFonts w:ascii="Cambria" w:hAnsi="Cambria"/>
          <w:lang w:val="en-GB"/>
        </w:rPr>
        <w:t xml:space="preserve">all </w:t>
      </w:r>
      <w:r w:rsidRPr="00F05617">
        <w:rPr>
          <w:rFonts w:ascii="Cambria" w:hAnsi="Cambria"/>
          <w:lang w:val="en-GB"/>
        </w:rPr>
        <w:t xml:space="preserve">information held by public </w:t>
      </w:r>
      <w:r w:rsidR="0042626A">
        <w:rPr>
          <w:rFonts w:ascii="Cambria" w:hAnsi="Cambria"/>
          <w:lang w:val="en-GB"/>
        </w:rPr>
        <w:t>authorit</w:t>
      </w:r>
      <w:r w:rsidRPr="00F05617">
        <w:rPr>
          <w:rFonts w:ascii="Cambria" w:hAnsi="Cambria"/>
          <w:lang w:val="en-GB"/>
        </w:rPr>
        <w:t xml:space="preserve">ies, subject only to a narrow regime of exceptions. Under international law, the right </w:t>
      </w:r>
      <w:r w:rsidR="00230B73">
        <w:rPr>
          <w:rFonts w:ascii="Cambria" w:hAnsi="Cambria"/>
          <w:lang w:val="en-GB"/>
        </w:rPr>
        <w:t>of access</w:t>
      </w:r>
      <w:r w:rsidRPr="00F05617">
        <w:rPr>
          <w:rFonts w:ascii="Cambria" w:hAnsi="Cambria"/>
          <w:lang w:val="en-GB"/>
        </w:rPr>
        <w:t xml:space="preserve"> may be subject to certain limited restrictions</w:t>
      </w:r>
      <w:r w:rsidR="00230B73">
        <w:rPr>
          <w:rFonts w:ascii="Cambria" w:hAnsi="Cambria"/>
          <w:lang w:val="en-GB"/>
        </w:rPr>
        <w:t>,</w:t>
      </w:r>
      <w:r w:rsidRPr="00F05617">
        <w:rPr>
          <w:rFonts w:ascii="Cambria" w:hAnsi="Cambria"/>
          <w:lang w:val="en-GB"/>
        </w:rPr>
        <w:t xml:space="preserve"> </w:t>
      </w:r>
      <w:r w:rsidR="00406499" w:rsidRPr="00F05617">
        <w:rPr>
          <w:rFonts w:ascii="Cambria" w:hAnsi="Cambria"/>
          <w:lang w:val="en-GB"/>
        </w:rPr>
        <w:t xml:space="preserve">but only </w:t>
      </w:r>
      <w:r w:rsidR="005C003E">
        <w:rPr>
          <w:rFonts w:ascii="Cambria" w:hAnsi="Cambria"/>
          <w:lang w:val="en-GB"/>
        </w:rPr>
        <w:t>where e</w:t>
      </w:r>
      <w:r w:rsidR="00E20638" w:rsidRPr="00F05617">
        <w:rPr>
          <w:rFonts w:ascii="Cambria" w:hAnsi="Cambria"/>
          <w:lang w:val="en-GB"/>
        </w:rPr>
        <w:t xml:space="preserve">xceptions </w:t>
      </w:r>
      <w:r w:rsidR="005C003E">
        <w:rPr>
          <w:rFonts w:ascii="Cambria" w:hAnsi="Cambria"/>
          <w:lang w:val="en-GB"/>
        </w:rPr>
        <w:t>are</w:t>
      </w:r>
      <w:r w:rsidR="00406499" w:rsidRPr="00F05617">
        <w:rPr>
          <w:rFonts w:ascii="Cambria" w:hAnsi="Cambria"/>
          <w:lang w:val="en-GB"/>
        </w:rPr>
        <w:t xml:space="preserve">: 1) </w:t>
      </w:r>
      <w:r w:rsidRPr="00F05617">
        <w:rPr>
          <w:rFonts w:ascii="Cambria" w:hAnsi="Cambria"/>
          <w:lang w:val="en-GB"/>
        </w:rPr>
        <w:t>set out in law and pr</w:t>
      </w:r>
      <w:r w:rsidR="00406499" w:rsidRPr="00F05617">
        <w:rPr>
          <w:rFonts w:ascii="Cambria" w:hAnsi="Cambria"/>
          <w:lang w:val="en-GB"/>
        </w:rPr>
        <w:t>otect only legitimate interests; 2)</w:t>
      </w:r>
      <w:r w:rsidR="00BA034E" w:rsidRPr="00F05617">
        <w:rPr>
          <w:rFonts w:ascii="Cambria" w:hAnsi="Cambria"/>
          <w:lang w:val="en-GB"/>
        </w:rPr>
        <w:t xml:space="preserve"> </w:t>
      </w:r>
      <w:r w:rsidR="005C003E">
        <w:rPr>
          <w:rFonts w:ascii="Cambria" w:hAnsi="Cambria"/>
          <w:lang w:val="en-GB"/>
        </w:rPr>
        <w:t xml:space="preserve">apply only where </w:t>
      </w:r>
      <w:r w:rsidR="00406499" w:rsidRPr="00F05617">
        <w:rPr>
          <w:rFonts w:ascii="Cambria" w:hAnsi="Cambria"/>
          <w:lang w:val="en-GB"/>
        </w:rPr>
        <w:t>disclosure</w:t>
      </w:r>
      <w:r w:rsidRPr="00F05617">
        <w:rPr>
          <w:rFonts w:ascii="Cambria" w:hAnsi="Cambria"/>
          <w:lang w:val="en-GB"/>
        </w:rPr>
        <w:t xml:space="preserve"> would pose a risk of</w:t>
      </w:r>
      <w:r w:rsidR="00BA034E" w:rsidRPr="00F05617">
        <w:rPr>
          <w:rFonts w:ascii="Cambria" w:hAnsi="Cambria"/>
          <w:lang w:val="en-GB"/>
        </w:rPr>
        <w:t xml:space="preserve"> harm to the protected interest; and 3) </w:t>
      </w:r>
      <w:r w:rsidR="005C003E">
        <w:rPr>
          <w:rFonts w:ascii="Cambria" w:hAnsi="Cambria"/>
          <w:lang w:val="en-GB"/>
        </w:rPr>
        <w:t xml:space="preserve">do not apply where, </w:t>
      </w:r>
      <w:r w:rsidR="00BA034E" w:rsidRPr="00F05617">
        <w:rPr>
          <w:rFonts w:ascii="Cambria" w:hAnsi="Cambria"/>
          <w:lang w:val="en-GB"/>
        </w:rPr>
        <w:t>n</w:t>
      </w:r>
      <w:r w:rsidRPr="00F05617">
        <w:rPr>
          <w:rFonts w:ascii="Cambria" w:hAnsi="Cambria"/>
          <w:lang w:val="en-GB"/>
        </w:rPr>
        <w:t xml:space="preserve">otwithstanding a risk of harm, the public interest </w:t>
      </w:r>
      <w:r w:rsidR="0067386F" w:rsidRPr="00F05617">
        <w:rPr>
          <w:rFonts w:ascii="Cambria" w:hAnsi="Cambria"/>
          <w:lang w:val="en-GB"/>
        </w:rPr>
        <w:t>in</w:t>
      </w:r>
      <w:r w:rsidRPr="00F05617">
        <w:rPr>
          <w:rFonts w:ascii="Cambria" w:hAnsi="Cambria"/>
          <w:lang w:val="en-GB"/>
        </w:rPr>
        <w:t xml:space="preserve"> </w:t>
      </w:r>
      <w:r w:rsidR="0067386F" w:rsidRPr="00F05617">
        <w:rPr>
          <w:rFonts w:ascii="Cambria" w:hAnsi="Cambria"/>
          <w:lang w:val="en-GB"/>
        </w:rPr>
        <w:t>disclosure</w:t>
      </w:r>
      <w:r w:rsidRPr="00F05617">
        <w:rPr>
          <w:rFonts w:ascii="Cambria" w:hAnsi="Cambria"/>
          <w:lang w:val="en-GB"/>
        </w:rPr>
        <w:t xml:space="preserve"> outweigh</w:t>
      </w:r>
      <w:r w:rsidR="005C003E">
        <w:rPr>
          <w:rFonts w:ascii="Cambria" w:hAnsi="Cambria"/>
          <w:lang w:val="en-GB"/>
        </w:rPr>
        <w:t>s that harm</w:t>
      </w:r>
      <w:r w:rsidR="0067386F" w:rsidRPr="00F05617">
        <w:rPr>
          <w:rFonts w:ascii="Cambria" w:hAnsi="Cambria"/>
          <w:lang w:val="en-GB"/>
        </w:rPr>
        <w:t>.</w:t>
      </w:r>
      <w:r w:rsidR="00D00802" w:rsidRPr="00F05617">
        <w:rPr>
          <w:rFonts w:ascii="Cambria" w:hAnsi="Cambria"/>
          <w:lang w:val="en-GB"/>
        </w:rPr>
        <w:t xml:space="preserve"> </w:t>
      </w:r>
      <w:r w:rsidR="005C003E">
        <w:rPr>
          <w:rFonts w:ascii="Cambria" w:hAnsi="Cambria"/>
          <w:lang w:val="en-GB"/>
        </w:rPr>
        <w:t>T</w:t>
      </w:r>
      <w:r w:rsidRPr="00F05617">
        <w:rPr>
          <w:rFonts w:ascii="Cambria" w:hAnsi="Cambria"/>
          <w:lang w:val="en-GB"/>
        </w:rPr>
        <w:t xml:space="preserve">he list of legitimate interests is well established under international law and </w:t>
      </w:r>
      <w:r w:rsidR="00EA3F1E" w:rsidRPr="00F05617">
        <w:rPr>
          <w:rFonts w:ascii="Cambria" w:hAnsi="Cambria"/>
          <w:lang w:val="en-GB"/>
        </w:rPr>
        <w:t xml:space="preserve">is </w:t>
      </w:r>
      <w:r w:rsidR="005C003E">
        <w:rPr>
          <w:rFonts w:ascii="Cambria" w:hAnsi="Cambria"/>
          <w:lang w:val="en-GB"/>
        </w:rPr>
        <w:t>limited to</w:t>
      </w:r>
      <w:r w:rsidRPr="00F05617">
        <w:rPr>
          <w:rFonts w:ascii="Cambria" w:hAnsi="Cambria"/>
          <w:lang w:val="en-GB"/>
        </w:rPr>
        <w:t>:</w:t>
      </w:r>
      <w:r w:rsidR="00EA3F1E" w:rsidRPr="00F05617">
        <w:rPr>
          <w:rFonts w:ascii="Cambria" w:hAnsi="Cambria"/>
          <w:lang w:val="en-GB"/>
        </w:rPr>
        <w:t xml:space="preserve"> </w:t>
      </w:r>
      <w:r w:rsidRPr="00F05617">
        <w:rPr>
          <w:rFonts w:ascii="Cambria" w:hAnsi="Cambria"/>
          <w:lang w:val="en-GB"/>
        </w:rPr>
        <w:t>national security;</w:t>
      </w:r>
      <w:r w:rsidR="00EA3F1E" w:rsidRPr="00F05617">
        <w:rPr>
          <w:rFonts w:ascii="Cambria" w:hAnsi="Cambria"/>
          <w:lang w:val="en-GB"/>
        </w:rPr>
        <w:t xml:space="preserve"> </w:t>
      </w:r>
      <w:r w:rsidRPr="00F05617">
        <w:rPr>
          <w:rFonts w:ascii="Cambria" w:hAnsi="Cambria"/>
          <w:lang w:val="en-GB"/>
        </w:rPr>
        <w:t>international relations;</w:t>
      </w:r>
      <w:r w:rsidR="00EA3F1E" w:rsidRPr="00F05617">
        <w:rPr>
          <w:rFonts w:ascii="Cambria" w:hAnsi="Cambria"/>
          <w:lang w:val="en-GB"/>
        </w:rPr>
        <w:t xml:space="preserve"> </w:t>
      </w:r>
      <w:r w:rsidRPr="00F05617">
        <w:rPr>
          <w:rFonts w:ascii="Cambria" w:hAnsi="Cambria"/>
          <w:lang w:val="en-GB"/>
        </w:rPr>
        <w:t>public health and safety;</w:t>
      </w:r>
      <w:r w:rsidR="00EA3F1E" w:rsidRPr="00F05617">
        <w:rPr>
          <w:rFonts w:ascii="Cambria" w:hAnsi="Cambria"/>
          <w:lang w:val="en-GB"/>
        </w:rPr>
        <w:t xml:space="preserve"> </w:t>
      </w:r>
      <w:r w:rsidRPr="00F05617">
        <w:rPr>
          <w:rFonts w:ascii="Cambria" w:hAnsi="Cambria"/>
          <w:lang w:val="en-GB"/>
        </w:rPr>
        <w:t>the prevention, investigation and prosecution of legal wrongs, the fair administration of justice and legal advice privilege;</w:t>
      </w:r>
      <w:r w:rsidR="00EA3F1E" w:rsidRPr="00F05617">
        <w:rPr>
          <w:rFonts w:ascii="Cambria" w:hAnsi="Cambria"/>
          <w:lang w:val="en-GB"/>
        </w:rPr>
        <w:t xml:space="preserve"> </w:t>
      </w:r>
      <w:r w:rsidRPr="00F05617">
        <w:rPr>
          <w:rFonts w:ascii="Cambria" w:hAnsi="Cambria"/>
          <w:lang w:val="en-GB"/>
        </w:rPr>
        <w:t>privacy;</w:t>
      </w:r>
      <w:r w:rsidR="00EA3F1E" w:rsidRPr="00F05617">
        <w:rPr>
          <w:rFonts w:ascii="Cambria" w:hAnsi="Cambria"/>
          <w:lang w:val="en-GB"/>
        </w:rPr>
        <w:t xml:space="preserve"> </w:t>
      </w:r>
      <w:r w:rsidRPr="00F05617">
        <w:rPr>
          <w:rFonts w:ascii="Cambria" w:hAnsi="Cambria"/>
          <w:lang w:val="en-GB"/>
        </w:rPr>
        <w:t>legitimate commercial and other economic interests;</w:t>
      </w:r>
      <w:r w:rsidR="00EA3F1E" w:rsidRPr="00F05617">
        <w:rPr>
          <w:rFonts w:ascii="Cambria" w:hAnsi="Cambria"/>
          <w:lang w:val="en-GB"/>
        </w:rPr>
        <w:t xml:space="preserve"> </w:t>
      </w:r>
      <w:r w:rsidRPr="00F05617">
        <w:rPr>
          <w:rFonts w:ascii="Cambria" w:hAnsi="Cambria"/>
          <w:lang w:val="en-GB"/>
        </w:rPr>
        <w:t>management of the economy; conservation of the environment; and</w:t>
      </w:r>
      <w:r w:rsidR="00EA3F1E" w:rsidRPr="00F05617">
        <w:rPr>
          <w:rFonts w:ascii="Cambria" w:hAnsi="Cambria"/>
          <w:lang w:val="en-GB"/>
        </w:rPr>
        <w:t xml:space="preserve"> </w:t>
      </w:r>
      <w:r w:rsidRPr="00F05617">
        <w:rPr>
          <w:rFonts w:ascii="Cambria" w:hAnsi="Cambria"/>
          <w:lang w:val="en-GB"/>
        </w:rPr>
        <w:t xml:space="preserve">legitimate policy making and other operations of public </w:t>
      </w:r>
      <w:r w:rsidR="0042626A">
        <w:rPr>
          <w:rFonts w:ascii="Cambria" w:hAnsi="Cambria"/>
          <w:lang w:val="en-GB"/>
        </w:rPr>
        <w:t>authorit</w:t>
      </w:r>
      <w:r w:rsidRPr="00F05617">
        <w:rPr>
          <w:rFonts w:ascii="Cambria" w:hAnsi="Cambria"/>
          <w:lang w:val="en-GB"/>
        </w:rPr>
        <w:t>ies.</w:t>
      </w:r>
    </w:p>
    <w:p w:rsidR="00A3414E" w:rsidRPr="00F05617" w:rsidRDefault="00A3414E" w:rsidP="00A3414E">
      <w:pPr>
        <w:pStyle w:val="c-article-bodytext"/>
        <w:spacing w:before="0" w:beforeAutospacing="0" w:after="0" w:afterAutospacing="0"/>
        <w:jc w:val="both"/>
        <w:rPr>
          <w:rFonts w:ascii="Cambria" w:hAnsi="Cambria"/>
          <w:lang w:val="en-GB"/>
        </w:rPr>
      </w:pPr>
    </w:p>
    <w:p w:rsidR="00E20638" w:rsidRPr="00F05617" w:rsidRDefault="005C003E" w:rsidP="00A3414E">
      <w:pPr>
        <w:pStyle w:val="c-article-bodytext"/>
        <w:spacing w:before="0" w:beforeAutospacing="0" w:after="0" w:afterAutospacing="0"/>
        <w:jc w:val="both"/>
        <w:rPr>
          <w:rFonts w:ascii="Cambria" w:hAnsi="Cambria"/>
          <w:lang w:val="en-GB"/>
        </w:rPr>
      </w:pPr>
      <w:r>
        <w:rPr>
          <w:rFonts w:ascii="Cambria" w:hAnsi="Cambria"/>
          <w:lang w:val="en-GB"/>
        </w:rPr>
        <w:t xml:space="preserve">Some </w:t>
      </w:r>
      <w:r w:rsidR="00134394" w:rsidRPr="00F05617">
        <w:rPr>
          <w:rFonts w:ascii="Cambria" w:hAnsi="Cambria"/>
          <w:lang w:val="en-GB"/>
        </w:rPr>
        <w:t>of the</w:t>
      </w:r>
      <w:r w:rsidR="00951B3B" w:rsidRPr="00F05617">
        <w:rPr>
          <w:rFonts w:ascii="Cambria" w:hAnsi="Cambria"/>
          <w:lang w:val="en-GB"/>
        </w:rPr>
        <w:t xml:space="preserve"> exceptions in the ATIA </w:t>
      </w:r>
      <w:r w:rsidR="00134394" w:rsidRPr="00F05617">
        <w:rPr>
          <w:rFonts w:ascii="Cambria" w:hAnsi="Cambria"/>
          <w:lang w:val="en-GB"/>
        </w:rPr>
        <w:t>do not protect</w:t>
      </w:r>
      <w:r w:rsidR="00951B3B" w:rsidRPr="00F05617">
        <w:rPr>
          <w:rFonts w:ascii="Cambria" w:hAnsi="Cambria"/>
          <w:lang w:val="en-GB"/>
        </w:rPr>
        <w:t xml:space="preserve"> illegitimate interests.</w:t>
      </w:r>
      <w:r w:rsidR="00134394" w:rsidRPr="00F05617">
        <w:rPr>
          <w:rFonts w:ascii="Cambria" w:hAnsi="Cambria"/>
          <w:lang w:val="en-GB"/>
        </w:rPr>
        <w:t xml:space="preserve"> For example,</w:t>
      </w:r>
      <w:r w:rsidR="009C58F2" w:rsidRPr="00F05617">
        <w:rPr>
          <w:rFonts w:ascii="Cambria" w:hAnsi="Cambria"/>
          <w:lang w:val="en-GB"/>
        </w:rPr>
        <w:t xml:space="preserve"> section 14 exempts from disclosure record</w:t>
      </w:r>
      <w:r w:rsidR="00E20638" w:rsidRPr="00F05617">
        <w:rPr>
          <w:rFonts w:ascii="Cambria" w:hAnsi="Cambria"/>
          <w:lang w:val="en-GB"/>
        </w:rPr>
        <w:t>s</w:t>
      </w:r>
      <w:r>
        <w:rPr>
          <w:rFonts w:ascii="Cambria" w:hAnsi="Cambria"/>
          <w:lang w:val="en-GB"/>
        </w:rPr>
        <w:t xml:space="preserve"> relating</w:t>
      </w:r>
      <w:r w:rsidR="009C58F2" w:rsidRPr="00F05617">
        <w:rPr>
          <w:rFonts w:ascii="Cambria" w:hAnsi="Cambria"/>
          <w:lang w:val="en-GB"/>
        </w:rPr>
        <w:t xml:space="preserve"> to federal-provincial</w:t>
      </w:r>
      <w:r w:rsidR="00125736" w:rsidRPr="00F05617">
        <w:rPr>
          <w:rFonts w:ascii="Cambria" w:hAnsi="Cambria"/>
          <w:lang w:val="en-GB"/>
        </w:rPr>
        <w:t xml:space="preserve"> </w:t>
      </w:r>
      <w:r>
        <w:rPr>
          <w:rFonts w:ascii="Cambria" w:hAnsi="Cambria"/>
          <w:lang w:val="en-GB"/>
        </w:rPr>
        <w:t xml:space="preserve">relations </w:t>
      </w:r>
      <w:r w:rsidR="004F5680" w:rsidRPr="00F05617">
        <w:rPr>
          <w:rFonts w:ascii="Cambria" w:hAnsi="Cambria"/>
          <w:lang w:val="en-GB"/>
        </w:rPr>
        <w:t>a</w:t>
      </w:r>
      <w:r w:rsidR="00125736" w:rsidRPr="00F05617">
        <w:rPr>
          <w:rFonts w:ascii="Cambria" w:hAnsi="Cambria"/>
          <w:lang w:val="en-GB"/>
        </w:rPr>
        <w:t xml:space="preserve">nd </w:t>
      </w:r>
      <w:r w:rsidR="00787C12" w:rsidRPr="00F05617">
        <w:rPr>
          <w:rFonts w:ascii="Cambria" w:hAnsi="Cambria"/>
          <w:lang w:val="en-GB"/>
        </w:rPr>
        <w:t xml:space="preserve">section </w:t>
      </w:r>
      <w:r w:rsidR="00125736" w:rsidRPr="00F05617">
        <w:rPr>
          <w:rFonts w:ascii="Cambria" w:hAnsi="Cambria"/>
          <w:lang w:val="en-GB"/>
        </w:rPr>
        <w:t xml:space="preserve">20.4 </w:t>
      </w:r>
      <w:r w:rsidR="00787C12" w:rsidRPr="00F05617">
        <w:rPr>
          <w:rFonts w:ascii="Cambria" w:hAnsi="Cambria"/>
          <w:lang w:val="en-GB"/>
        </w:rPr>
        <w:t>excludes information</w:t>
      </w:r>
      <w:r w:rsidR="00125736" w:rsidRPr="00F05617">
        <w:rPr>
          <w:rFonts w:ascii="Cambria" w:hAnsi="Cambria"/>
          <w:lang w:val="en-GB"/>
        </w:rPr>
        <w:t xml:space="preserve"> about the terms of a contract </w:t>
      </w:r>
      <w:r w:rsidR="00360608" w:rsidRPr="00F05617">
        <w:rPr>
          <w:rFonts w:ascii="Cambria" w:hAnsi="Cambria"/>
          <w:lang w:val="en-GB"/>
        </w:rPr>
        <w:t>between</w:t>
      </w:r>
      <w:r w:rsidR="00125736" w:rsidRPr="00F05617">
        <w:rPr>
          <w:rFonts w:ascii="Cambria" w:hAnsi="Cambria"/>
          <w:lang w:val="en-GB"/>
        </w:rPr>
        <w:t xml:space="preserve"> a performing artist </w:t>
      </w:r>
      <w:r w:rsidR="00360608" w:rsidRPr="00F05617">
        <w:rPr>
          <w:rFonts w:ascii="Cambria" w:hAnsi="Cambria"/>
          <w:lang w:val="en-GB"/>
        </w:rPr>
        <w:t xml:space="preserve">and </w:t>
      </w:r>
      <w:r>
        <w:rPr>
          <w:rFonts w:ascii="Cambria" w:hAnsi="Cambria"/>
          <w:lang w:val="en-GB"/>
        </w:rPr>
        <w:t xml:space="preserve">the </w:t>
      </w:r>
      <w:r w:rsidR="00360608" w:rsidRPr="00F05617">
        <w:rPr>
          <w:rFonts w:ascii="Cambria" w:hAnsi="Cambria"/>
          <w:lang w:val="en-GB"/>
        </w:rPr>
        <w:t>National Arts Centre</w:t>
      </w:r>
      <w:r w:rsidR="00121609" w:rsidRPr="00F05617">
        <w:rPr>
          <w:rFonts w:ascii="Cambria" w:hAnsi="Cambria"/>
          <w:lang w:val="en-GB"/>
        </w:rPr>
        <w:t xml:space="preserve">. </w:t>
      </w:r>
      <w:r w:rsidR="00360608" w:rsidRPr="00F05617">
        <w:rPr>
          <w:rFonts w:ascii="Cambria" w:hAnsi="Cambria"/>
          <w:lang w:val="en-GB"/>
        </w:rPr>
        <w:t>No reason is given for why these categories of information should be protected</w:t>
      </w:r>
      <w:r>
        <w:rPr>
          <w:rFonts w:ascii="Cambria" w:hAnsi="Cambria"/>
          <w:lang w:val="en-GB"/>
        </w:rPr>
        <w:t xml:space="preserve">. In any case, </w:t>
      </w:r>
      <w:r w:rsidR="00121609" w:rsidRPr="00F05617">
        <w:rPr>
          <w:rFonts w:ascii="Cambria" w:hAnsi="Cambria"/>
          <w:lang w:val="en-GB"/>
        </w:rPr>
        <w:t xml:space="preserve">section 18 aims to protect Canada’s economic </w:t>
      </w:r>
      <w:r w:rsidR="00121609" w:rsidRPr="00F05617">
        <w:rPr>
          <w:rFonts w:ascii="Cambria" w:hAnsi="Cambria"/>
          <w:lang w:val="en-GB"/>
        </w:rPr>
        <w:lastRenderedPageBreak/>
        <w:t xml:space="preserve">interests – a legitimate </w:t>
      </w:r>
      <w:r w:rsidR="00CF14F4" w:rsidRPr="00F05617">
        <w:rPr>
          <w:rFonts w:ascii="Cambria" w:hAnsi="Cambria"/>
          <w:lang w:val="en-GB"/>
        </w:rPr>
        <w:t xml:space="preserve">interest </w:t>
      </w:r>
      <w:r>
        <w:rPr>
          <w:rFonts w:ascii="Cambria" w:hAnsi="Cambria"/>
          <w:lang w:val="en-GB"/>
        </w:rPr>
        <w:t>–</w:t>
      </w:r>
      <w:r w:rsidR="00CF14F4" w:rsidRPr="00F05617">
        <w:rPr>
          <w:rFonts w:ascii="Cambria" w:hAnsi="Cambria"/>
          <w:lang w:val="en-GB"/>
        </w:rPr>
        <w:t xml:space="preserve"> </w:t>
      </w:r>
      <w:r>
        <w:rPr>
          <w:rFonts w:ascii="Cambria" w:hAnsi="Cambria"/>
          <w:lang w:val="en-GB"/>
        </w:rPr>
        <w:t xml:space="preserve">and </w:t>
      </w:r>
      <w:r w:rsidR="00121609" w:rsidRPr="00F05617">
        <w:rPr>
          <w:rFonts w:ascii="Cambria" w:hAnsi="Cambria"/>
          <w:lang w:val="en-GB"/>
        </w:rPr>
        <w:t>s</w:t>
      </w:r>
      <w:r w:rsidR="00E675D6" w:rsidRPr="00F05617">
        <w:rPr>
          <w:rFonts w:ascii="Cambria" w:hAnsi="Cambria"/>
          <w:lang w:val="en-GB"/>
        </w:rPr>
        <w:t>ection 18</w:t>
      </w:r>
      <w:r w:rsidR="00121609" w:rsidRPr="00F05617">
        <w:rPr>
          <w:rFonts w:ascii="Cambria" w:hAnsi="Cambria"/>
          <w:lang w:val="en-GB"/>
        </w:rPr>
        <w:t xml:space="preserve">(b) </w:t>
      </w:r>
      <w:r w:rsidR="00951B3B" w:rsidRPr="00F05617">
        <w:rPr>
          <w:rFonts w:ascii="Cambria" w:hAnsi="Cambria"/>
          <w:lang w:val="en-GB"/>
        </w:rPr>
        <w:t>excludes information that “could reasonably be expected to prejudice the competitive position of a government institution or to interfere with contractual or other negotiation</w:t>
      </w:r>
      <w:r w:rsidR="00CF14F4" w:rsidRPr="00F05617">
        <w:rPr>
          <w:rFonts w:ascii="Cambria" w:hAnsi="Cambria"/>
          <w:lang w:val="en-GB"/>
        </w:rPr>
        <w:t xml:space="preserve">s of a government institution.” This </w:t>
      </w:r>
      <w:r>
        <w:rPr>
          <w:rFonts w:ascii="Cambria" w:hAnsi="Cambria"/>
          <w:lang w:val="en-GB"/>
        </w:rPr>
        <w:t xml:space="preserve">already covers </w:t>
      </w:r>
      <w:r w:rsidR="00CF14F4" w:rsidRPr="00F05617">
        <w:rPr>
          <w:rFonts w:ascii="Cambria" w:hAnsi="Cambria"/>
          <w:lang w:val="en-GB"/>
        </w:rPr>
        <w:t>any</w:t>
      </w:r>
      <w:r w:rsidR="00951B3B" w:rsidRPr="00F05617">
        <w:rPr>
          <w:rFonts w:ascii="Cambria" w:hAnsi="Cambria"/>
          <w:lang w:val="en-GB"/>
        </w:rPr>
        <w:t xml:space="preserve"> legitimate interest protected</w:t>
      </w:r>
      <w:r w:rsidR="007F4E56" w:rsidRPr="00F05617">
        <w:rPr>
          <w:rFonts w:ascii="Cambria" w:hAnsi="Cambria"/>
          <w:lang w:val="en-GB"/>
        </w:rPr>
        <w:t xml:space="preserve"> </w:t>
      </w:r>
      <w:r>
        <w:rPr>
          <w:rFonts w:ascii="Cambria" w:hAnsi="Cambria"/>
          <w:lang w:val="en-GB"/>
        </w:rPr>
        <w:t xml:space="preserve">by </w:t>
      </w:r>
      <w:r w:rsidR="007F4E56" w:rsidRPr="00F05617">
        <w:rPr>
          <w:rFonts w:ascii="Cambria" w:hAnsi="Cambria"/>
          <w:lang w:val="en-GB"/>
        </w:rPr>
        <w:t>section</w:t>
      </w:r>
      <w:r w:rsidR="00E20638" w:rsidRPr="00F05617">
        <w:rPr>
          <w:rFonts w:ascii="Cambria" w:hAnsi="Cambria"/>
          <w:lang w:val="en-GB"/>
        </w:rPr>
        <w:t>s</w:t>
      </w:r>
      <w:r w:rsidR="007F4E56" w:rsidRPr="00F05617">
        <w:rPr>
          <w:rFonts w:ascii="Cambria" w:hAnsi="Cambria"/>
          <w:lang w:val="en-GB"/>
        </w:rPr>
        <w:t xml:space="preserve"> 14 and 20.4. </w:t>
      </w:r>
    </w:p>
    <w:p w:rsidR="00C43B6E" w:rsidRPr="00F05617" w:rsidRDefault="00C43B6E" w:rsidP="00A3414E">
      <w:pPr>
        <w:pStyle w:val="c-article-bodytext"/>
        <w:spacing w:before="0" w:beforeAutospacing="0" w:after="0" w:afterAutospacing="0"/>
        <w:jc w:val="both"/>
        <w:rPr>
          <w:rFonts w:ascii="Cambria" w:hAnsi="Cambria"/>
          <w:lang w:val="en-GB"/>
        </w:rPr>
      </w:pPr>
    </w:p>
    <w:p w:rsidR="00016BA4" w:rsidRPr="00F05617" w:rsidRDefault="005C003E" w:rsidP="00A3414E">
      <w:pPr>
        <w:pStyle w:val="c-article-bodytext"/>
        <w:spacing w:before="0" w:beforeAutospacing="0" w:after="0" w:afterAutospacing="0"/>
        <w:jc w:val="both"/>
        <w:rPr>
          <w:rFonts w:ascii="Cambria" w:hAnsi="Cambria"/>
          <w:lang w:val="en-GB"/>
        </w:rPr>
      </w:pPr>
      <w:r>
        <w:rPr>
          <w:rFonts w:ascii="Cambria" w:hAnsi="Cambria"/>
          <w:lang w:val="en-GB"/>
        </w:rPr>
        <w:t>O</w:t>
      </w:r>
      <w:r w:rsidR="00016BA4" w:rsidRPr="00F05617">
        <w:rPr>
          <w:rFonts w:ascii="Cambria" w:hAnsi="Cambria"/>
          <w:lang w:val="en-GB"/>
        </w:rPr>
        <w:t>ther exceptions protect legitimate interests but lack the necessary</w:t>
      </w:r>
      <w:r w:rsidR="005155F0" w:rsidRPr="00F05617">
        <w:rPr>
          <w:rFonts w:ascii="Cambria" w:hAnsi="Cambria"/>
          <w:lang w:val="en-GB"/>
        </w:rPr>
        <w:t xml:space="preserve"> harm test and therefore go beyond what is necessary. </w:t>
      </w:r>
      <w:r w:rsidR="0042626A">
        <w:rPr>
          <w:rFonts w:ascii="Cambria" w:hAnsi="Cambria"/>
          <w:lang w:val="en-GB"/>
        </w:rPr>
        <w:t>These include</w:t>
      </w:r>
      <w:r w:rsidR="005155F0" w:rsidRPr="00F05617">
        <w:rPr>
          <w:rFonts w:ascii="Cambria" w:hAnsi="Cambria"/>
          <w:lang w:val="en-GB"/>
        </w:rPr>
        <w:t xml:space="preserve"> </w:t>
      </w:r>
      <w:r w:rsidR="00016BA4" w:rsidRPr="00F05617">
        <w:rPr>
          <w:rFonts w:ascii="Cambria" w:hAnsi="Cambria"/>
          <w:lang w:val="en-GB"/>
        </w:rPr>
        <w:t xml:space="preserve">provisions protecting </w:t>
      </w:r>
      <w:r w:rsidR="005155F0" w:rsidRPr="00F05617">
        <w:rPr>
          <w:rFonts w:ascii="Cambria" w:hAnsi="Cambria"/>
          <w:lang w:val="en-GB"/>
        </w:rPr>
        <w:t xml:space="preserve">information received in confidence from other States or governments (section 13(1)), law enforcement information (section 16(1)(a)), information related to law enforcement investigative techniques (section 16(1)(b)), information treated as confidential by crown corporations (18.1(1)), financial or commercial information which is treated as confidential by a third party (section 20(1)(b)), </w:t>
      </w:r>
      <w:r w:rsidR="00016BA4" w:rsidRPr="00F05617">
        <w:rPr>
          <w:rFonts w:ascii="Cambria" w:hAnsi="Cambria"/>
          <w:lang w:val="en-GB"/>
        </w:rPr>
        <w:t>government advice (section</w:t>
      </w:r>
      <w:r w:rsidR="005155F0" w:rsidRPr="00F05617">
        <w:rPr>
          <w:rFonts w:ascii="Cambria" w:hAnsi="Cambria"/>
          <w:lang w:val="en-GB"/>
        </w:rPr>
        <w:t xml:space="preserve"> 21) and </w:t>
      </w:r>
      <w:r w:rsidR="00016BA4" w:rsidRPr="00F05617">
        <w:rPr>
          <w:rFonts w:ascii="Cambria" w:hAnsi="Cambria"/>
          <w:lang w:val="en-GB"/>
        </w:rPr>
        <w:t>draft reports or internal working papers related to government audits (section 22.1).</w:t>
      </w:r>
      <w:r w:rsidR="00016BA4" w:rsidRPr="00F05617">
        <w:rPr>
          <w:rStyle w:val="FootnoteReference"/>
          <w:rFonts w:ascii="Cambria" w:hAnsi="Cambria"/>
          <w:lang w:val="en-GB"/>
        </w:rPr>
        <w:footnoteReference w:id="22"/>
      </w:r>
      <w:r w:rsidR="00016BA4" w:rsidRPr="00F05617">
        <w:rPr>
          <w:rFonts w:ascii="Cambria" w:hAnsi="Cambria"/>
          <w:lang w:val="en-GB"/>
        </w:rPr>
        <w:t xml:space="preserve"> </w:t>
      </w:r>
    </w:p>
    <w:p w:rsidR="00A3414E" w:rsidRPr="00F05617" w:rsidRDefault="00A3414E" w:rsidP="00A3414E">
      <w:pPr>
        <w:pStyle w:val="c-article-bodytext"/>
        <w:spacing w:before="0" w:beforeAutospacing="0" w:after="0" w:afterAutospacing="0"/>
        <w:jc w:val="both"/>
        <w:rPr>
          <w:rFonts w:ascii="Cambria" w:hAnsi="Cambria"/>
          <w:b/>
          <w:bCs/>
          <w:lang w:val="en-GB"/>
        </w:rPr>
      </w:pPr>
    </w:p>
    <w:p w:rsidR="0068521F" w:rsidRPr="00F05617" w:rsidRDefault="00DE5EB5" w:rsidP="00A3414E">
      <w:pPr>
        <w:pStyle w:val="c-article-bodytext"/>
        <w:spacing w:before="0" w:beforeAutospacing="0" w:after="0" w:afterAutospacing="0"/>
        <w:jc w:val="both"/>
        <w:rPr>
          <w:rFonts w:ascii="Cambria" w:hAnsi="Cambria"/>
          <w:lang w:val="en-GB"/>
        </w:rPr>
      </w:pPr>
      <w:r w:rsidRPr="00F05617">
        <w:rPr>
          <w:rFonts w:ascii="Cambria" w:hAnsi="Cambria"/>
          <w:lang w:val="en-GB"/>
        </w:rPr>
        <w:t>One step that would go a long way in terms of ameliorating problem</w:t>
      </w:r>
      <w:r w:rsidR="0042626A">
        <w:rPr>
          <w:rFonts w:ascii="Cambria" w:hAnsi="Cambria"/>
          <w:lang w:val="en-GB"/>
        </w:rPr>
        <w:t>s</w:t>
      </w:r>
      <w:r w:rsidRPr="00F05617">
        <w:rPr>
          <w:rFonts w:ascii="Cambria" w:hAnsi="Cambria"/>
          <w:lang w:val="en-GB"/>
        </w:rPr>
        <w:t xml:space="preserve"> </w:t>
      </w:r>
      <w:r w:rsidR="0042626A">
        <w:rPr>
          <w:rFonts w:ascii="Cambria" w:hAnsi="Cambria"/>
          <w:lang w:val="en-GB"/>
        </w:rPr>
        <w:t xml:space="preserve">with </w:t>
      </w:r>
      <w:r w:rsidRPr="00F05617">
        <w:rPr>
          <w:rFonts w:ascii="Cambria" w:hAnsi="Cambria"/>
          <w:lang w:val="en-GB"/>
        </w:rPr>
        <w:t xml:space="preserve">the </w:t>
      </w:r>
      <w:r w:rsidR="0042626A" w:rsidRPr="00F05617">
        <w:rPr>
          <w:rFonts w:ascii="Cambria" w:hAnsi="Cambria"/>
          <w:lang w:val="en-GB"/>
        </w:rPr>
        <w:t xml:space="preserve">regime </w:t>
      </w:r>
      <w:r w:rsidR="0042626A">
        <w:rPr>
          <w:rFonts w:ascii="Cambria" w:hAnsi="Cambria"/>
          <w:lang w:val="en-GB"/>
        </w:rPr>
        <w:t xml:space="preserve">of </w:t>
      </w:r>
      <w:r w:rsidRPr="00F05617">
        <w:rPr>
          <w:rFonts w:ascii="Cambria" w:hAnsi="Cambria"/>
          <w:lang w:val="en-GB"/>
        </w:rPr>
        <w:t xml:space="preserve">exceptions would be to enact </w:t>
      </w:r>
      <w:r w:rsidR="00951B3B" w:rsidRPr="00F05617">
        <w:rPr>
          <w:rFonts w:ascii="Cambria" w:hAnsi="Cambria"/>
          <w:lang w:val="en-GB"/>
        </w:rPr>
        <w:t>a bl</w:t>
      </w:r>
      <w:r w:rsidRPr="00F05617">
        <w:rPr>
          <w:rFonts w:ascii="Cambria" w:hAnsi="Cambria"/>
          <w:lang w:val="en-GB"/>
        </w:rPr>
        <w:t xml:space="preserve">anket public interest override. Currently, the Act contains </w:t>
      </w:r>
      <w:r w:rsidR="00951B3B" w:rsidRPr="00F05617">
        <w:rPr>
          <w:rFonts w:ascii="Cambria" w:hAnsi="Cambria"/>
          <w:lang w:val="en-GB"/>
        </w:rPr>
        <w:t xml:space="preserve">only </w:t>
      </w:r>
      <w:r w:rsidRPr="00F05617">
        <w:rPr>
          <w:rFonts w:ascii="Cambria" w:hAnsi="Cambria"/>
          <w:lang w:val="en-GB"/>
        </w:rPr>
        <w:t>a limited</w:t>
      </w:r>
      <w:r w:rsidR="00951B3B" w:rsidRPr="00F05617">
        <w:rPr>
          <w:rFonts w:ascii="Cambria" w:hAnsi="Cambria"/>
          <w:lang w:val="en-GB"/>
        </w:rPr>
        <w:t xml:space="preserve"> public interest test </w:t>
      </w:r>
      <w:r w:rsidRPr="00F05617">
        <w:rPr>
          <w:rFonts w:ascii="Cambria" w:hAnsi="Cambria"/>
          <w:lang w:val="en-GB"/>
        </w:rPr>
        <w:t xml:space="preserve">that </w:t>
      </w:r>
      <w:r w:rsidR="00E20638" w:rsidRPr="00F05617">
        <w:rPr>
          <w:rFonts w:ascii="Cambria" w:hAnsi="Cambria"/>
          <w:lang w:val="en-GB"/>
        </w:rPr>
        <w:t>applies to</w:t>
      </w:r>
      <w:r w:rsidR="00951B3B" w:rsidRPr="00F05617">
        <w:rPr>
          <w:rFonts w:ascii="Cambria" w:hAnsi="Cambria"/>
          <w:lang w:val="en-GB"/>
        </w:rPr>
        <w:t xml:space="preserve"> third-party trade secrets</w:t>
      </w:r>
      <w:r w:rsidR="005C003E">
        <w:rPr>
          <w:rFonts w:ascii="Cambria" w:hAnsi="Cambria"/>
          <w:lang w:val="en-GB"/>
        </w:rPr>
        <w:t xml:space="preserve"> and financial, scientific</w:t>
      </w:r>
      <w:r w:rsidR="00A626C9" w:rsidRPr="00F05617">
        <w:rPr>
          <w:rFonts w:ascii="Cambria" w:hAnsi="Cambria"/>
          <w:lang w:val="en-GB"/>
        </w:rPr>
        <w:t xml:space="preserve"> or technical information, allowing for disclosure if it “would be in the public interest as it relates to public health, public safety or protection of the environment” or </w:t>
      </w:r>
      <w:r w:rsidR="0042626A">
        <w:rPr>
          <w:rFonts w:ascii="Cambria" w:hAnsi="Cambria"/>
          <w:lang w:val="en-GB"/>
        </w:rPr>
        <w:t xml:space="preserve">where </w:t>
      </w:r>
      <w:r w:rsidR="00A626C9" w:rsidRPr="00F05617">
        <w:rPr>
          <w:rFonts w:ascii="Cambria" w:hAnsi="Cambria"/>
          <w:lang w:val="en-GB"/>
        </w:rPr>
        <w:t>“the public interest in disclosure clearly outweighs in importance any financia</w:t>
      </w:r>
      <w:r w:rsidR="0042626A">
        <w:rPr>
          <w:rFonts w:ascii="Cambria" w:hAnsi="Cambria"/>
          <w:lang w:val="en-GB"/>
        </w:rPr>
        <w:t>l loss or gain to a third party</w:t>
      </w:r>
      <w:r w:rsidR="00A626C9" w:rsidRPr="00F05617">
        <w:rPr>
          <w:rFonts w:ascii="Cambria" w:hAnsi="Cambria"/>
          <w:lang w:val="en-GB"/>
        </w:rPr>
        <w:t>”</w:t>
      </w:r>
      <w:r w:rsidR="00951B3B" w:rsidRPr="00F05617">
        <w:rPr>
          <w:rFonts w:ascii="Cambria" w:hAnsi="Cambria"/>
          <w:lang w:val="en-GB"/>
        </w:rPr>
        <w:t xml:space="preserve">. The scope of </w:t>
      </w:r>
      <w:r w:rsidR="00A626C9" w:rsidRPr="00F05617">
        <w:rPr>
          <w:rFonts w:ascii="Cambria" w:hAnsi="Cambria"/>
          <w:lang w:val="en-GB"/>
        </w:rPr>
        <w:t>this</w:t>
      </w:r>
      <w:r w:rsidR="00951B3B" w:rsidRPr="00F05617">
        <w:rPr>
          <w:rFonts w:ascii="Cambria" w:hAnsi="Cambria"/>
          <w:lang w:val="en-GB"/>
        </w:rPr>
        <w:t xml:space="preserve"> was</w:t>
      </w:r>
      <w:r w:rsidR="005C003E">
        <w:rPr>
          <w:rFonts w:ascii="Cambria" w:hAnsi="Cambria"/>
          <w:lang w:val="en-GB"/>
        </w:rPr>
        <w:t xml:space="preserve"> extended by the Supreme Court</w:t>
      </w:r>
      <w:r w:rsidR="00951B3B" w:rsidRPr="00F05617">
        <w:rPr>
          <w:rFonts w:ascii="Cambria" w:hAnsi="Cambria"/>
          <w:lang w:val="en-GB"/>
        </w:rPr>
        <w:t xml:space="preserve"> in </w:t>
      </w:r>
      <w:r w:rsidR="00951B3B" w:rsidRPr="00F05617">
        <w:rPr>
          <w:rFonts w:ascii="Cambria" w:hAnsi="Cambria"/>
          <w:i/>
          <w:iCs/>
          <w:lang w:val="en-GB"/>
        </w:rPr>
        <w:t>Criminal Lawyers’ Association v. Ontario (Public Safety and Security)</w:t>
      </w:r>
      <w:r w:rsidR="00951B3B" w:rsidRPr="00F05617">
        <w:rPr>
          <w:rFonts w:ascii="Cambria" w:hAnsi="Cambria"/>
          <w:lang w:val="en-GB"/>
        </w:rPr>
        <w:t>, which held that the public interest must be taken into account when deciding whether or not to apply discretionary exceptions.</w:t>
      </w:r>
      <w:r w:rsidR="00951B3B" w:rsidRPr="00F05617">
        <w:rPr>
          <w:rFonts w:ascii="Cambria" w:hAnsi="Cambria"/>
          <w:vertAlign w:val="superscript"/>
          <w:lang w:val="en-GB"/>
        </w:rPr>
        <w:footnoteReference w:id="23"/>
      </w:r>
      <w:r w:rsidR="00951B3B" w:rsidRPr="00F05617">
        <w:rPr>
          <w:rFonts w:ascii="Cambria" w:hAnsi="Cambria"/>
          <w:lang w:val="en-GB"/>
        </w:rPr>
        <w:t xml:space="preserve"> </w:t>
      </w:r>
      <w:r w:rsidR="005C003E">
        <w:rPr>
          <w:rFonts w:ascii="Cambria" w:hAnsi="Cambria"/>
          <w:lang w:val="en-GB"/>
        </w:rPr>
        <w:t>As a result</w:t>
      </w:r>
      <w:r w:rsidR="00951B3B" w:rsidRPr="00F05617">
        <w:rPr>
          <w:rFonts w:ascii="Cambria" w:hAnsi="Cambria"/>
          <w:lang w:val="en-GB"/>
        </w:rPr>
        <w:t xml:space="preserve">, </w:t>
      </w:r>
      <w:r w:rsidR="00A626C9" w:rsidRPr="00F05617">
        <w:rPr>
          <w:rFonts w:ascii="Cambria" w:hAnsi="Cambria"/>
          <w:lang w:val="en-GB"/>
        </w:rPr>
        <w:t>all</w:t>
      </w:r>
      <w:r w:rsidR="00951B3B" w:rsidRPr="00F05617">
        <w:rPr>
          <w:rFonts w:ascii="Cambria" w:hAnsi="Cambria"/>
          <w:lang w:val="en-GB"/>
        </w:rPr>
        <w:t xml:space="preserve"> discretionary exception</w:t>
      </w:r>
      <w:r w:rsidR="00A626C9" w:rsidRPr="00F05617">
        <w:rPr>
          <w:rFonts w:ascii="Cambria" w:hAnsi="Cambria"/>
          <w:lang w:val="en-GB"/>
        </w:rPr>
        <w:t>s</w:t>
      </w:r>
      <w:r w:rsidR="00951B3B" w:rsidRPr="00F05617">
        <w:rPr>
          <w:rFonts w:ascii="Cambria" w:hAnsi="Cambria"/>
          <w:lang w:val="en-GB"/>
        </w:rPr>
        <w:t xml:space="preserve"> </w:t>
      </w:r>
      <w:r w:rsidR="00A626C9" w:rsidRPr="00F05617">
        <w:rPr>
          <w:rFonts w:ascii="Cambria" w:hAnsi="Cambria"/>
          <w:lang w:val="en-GB"/>
        </w:rPr>
        <w:t>are now subject to some</w:t>
      </w:r>
      <w:r w:rsidR="00951B3B" w:rsidRPr="00F05617">
        <w:rPr>
          <w:rFonts w:ascii="Cambria" w:hAnsi="Cambria"/>
          <w:lang w:val="en-GB"/>
        </w:rPr>
        <w:t xml:space="preserve"> form of public interest test, </w:t>
      </w:r>
      <w:r w:rsidR="00A626C9" w:rsidRPr="00F05617">
        <w:rPr>
          <w:rFonts w:ascii="Cambria" w:hAnsi="Cambria"/>
          <w:lang w:val="en-GB"/>
        </w:rPr>
        <w:t>but this still l</w:t>
      </w:r>
      <w:r w:rsidR="00E20638" w:rsidRPr="00F05617">
        <w:rPr>
          <w:rFonts w:ascii="Cambria" w:hAnsi="Cambria"/>
          <w:lang w:val="en-GB"/>
        </w:rPr>
        <w:t>eaves out mandatory exceptions. T</w:t>
      </w:r>
      <w:r w:rsidR="00A626C9" w:rsidRPr="00F05617">
        <w:rPr>
          <w:rFonts w:ascii="Cambria" w:hAnsi="Cambria"/>
          <w:lang w:val="en-GB"/>
        </w:rPr>
        <w:t xml:space="preserve">he best position would be </w:t>
      </w:r>
      <w:r w:rsidR="0042626A">
        <w:rPr>
          <w:rFonts w:ascii="Cambria" w:hAnsi="Cambria"/>
          <w:lang w:val="en-GB"/>
        </w:rPr>
        <w:t xml:space="preserve">to make the </w:t>
      </w:r>
      <w:r w:rsidR="00A626C9" w:rsidRPr="00F05617">
        <w:rPr>
          <w:rFonts w:ascii="Cambria" w:hAnsi="Cambria"/>
          <w:lang w:val="en-GB"/>
        </w:rPr>
        <w:t xml:space="preserve">public interest </w:t>
      </w:r>
      <w:r w:rsidR="00E20638" w:rsidRPr="00F05617">
        <w:rPr>
          <w:rFonts w:ascii="Cambria" w:hAnsi="Cambria"/>
          <w:lang w:val="en-GB"/>
        </w:rPr>
        <w:t>is</w:t>
      </w:r>
      <w:r w:rsidR="00A626C9" w:rsidRPr="00F05617">
        <w:rPr>
          <w:rFonts w:ascii="Cambria" w:hAnsi="Cambria"/>
          <w:lang w:val="en-GB"/>
        </w:rPr>
        <w:t xml:space="preserve"> made explicit</w:t>
      </w:r>
      <w:r w:rsidR="0042626A">
        <w:rPr>
          <w:rFonts w:ascii="Cambria" w:hAnsi="Cambria"/>
          <w:lang w:val="en-GB"/>
        </w:rPr>
        <w:t>,</w:t>
      </w:r>
      <w:r w:rsidR="00A626C9" w:rsidRPr="00F05617">
        <w:rPr>
          <w:rFonts w:ascii="Cambria" w:hAnsi="Cambria"/>
          <w:lang w:val="en-GB"/>
        </w:rPr>
        <w:t xml:space="preserve"> as is</w:t>
      </w:r>
      <w:r w:rsidR="0013578D" w:rsidRPr="00F05617">
        <w:rPr>
          <w:rFonts w:ascii="Cambria" w:hAnsi="Cambria"/>
          <w:lang w:val="en-GB"/>
        </w:rPr>
        <w:t xml:space="preserve"> </w:t>
      </w:r>
      <w:r w:rsidR="0042626A">
        <w:rPr>
          <w:rFonts w:ascii="Cambria" w:hAnsi="Cambria"/>
          <w:lang w:val="en-GB"/>
        </w:rPr>
        <w:t xml:space="preserve">the case </w:t>
      </w:r>
      <w:r w:rsidR="0013578D" w:rsidRPr="00F05617">
        <w:rPr>
          <w:rFonts w:ascii="Cambria" w:hAnsi="Cambria"/>
          <w:lang w:val="en-GB"/>
        </w:rPr>
        <w:t>in many countries</w:t>
      </w:r>
      <w:r w:rsidR="0068521F" w:rsidRPr="00F05617">
        <w:rPr>
          <w:rFonts w:ascii="Cambria" w:hAnsi="Cambria"/>
          <w:lang w:val="en-GB"/>
        </w:rPr>
        <w:t xml:space="preserve"> </w:t>
      </w:r>
      <w:r w:rsidR="0013578D" w:rsidRPr="00F05617">
        <w:rPr>
          <w:rFonts w:ascii="Cambria" w:hAnsi="Cambria"/>
          <w:lang w:val="en-GB"/>
        </w:rPr>
        <w:t xml:space="preserve">such as </w:t>
      </w:r>
      <w:r w:rsidR="005C003E" w:rsidRPr="00F05617">
        <w:rPr>
          <w:rFonts w:ascii="Cambria" w:hAnsi="Cambria"/>
          <w:lang w:val="en-GB"/>
        </w:rPr>
        <w:t>Colombia</w:t>
      </w:r>
      <w:r w:rsidR="005E1664">
        <w:rPr>
          <w:rFonts w:ascii="Cambria" w:hAnsi="Cambria"/>
          <w:lang w:val="en-GB"/>
        </w:rPr>
        <w:t>,</w:t>
      </w:r>
      <w:r w:rsidR="005C003E" w:rsidRPr="00F05617">
        <w:rPr>
          <w:rFonts w:ascii="Cambria" w:hAnsi="Cambria"/>
          <w:lang w:val="en-GB"/>
        </w:rPr>
        <w:t xml:space="preserve"> Indonesia</w:t>
      </w:r>
      <w:r w:rsidR="005E1664">
        <w:rPr>
          <w:rFonts w:ascii="Cambria" w:hAnsi="Cambria"/>
          <w:lang w:val="en-GB"/>
        </w:rPr>
        <w:t xml:space="preserve">, </w:t>
      </w:r>
      <w:r w:rsidR="005E1664" w:rsidRPr="00F05617">
        <w:rPr>
          <w:rFonts w:ascii="Cambria" w:hAnsi="Cambria"/>
          <w:lang w:val="en-GB"/>
        </w:rPr>
        <w:t xml:space="preserve">Macedonia, </w:t>
      </w:r>
      <w:r w:rsidR="0013578D" w:rsidRPr="00F05617">
        <w:rPr>
          <w:rFonts w:ascii="Cambria" w:hAnsi="Cambria"/>
          <w:lang w:val="en-GB"/>
        </w:rPr>
        <w:t xml:space="preserve">South Africa, </w:t>
      </w:r>
      <w:r w:rsidR="005E1664">
        <w:rPr>
          <w:rFonts w:ascii="Cambria" w:hAnsi="Cambria"/>
          <w:lang w:val="en-GB"/>
        </w:rPr>
        <w:t>Tunisia</w:t>
      </w:r>
      <w:r w:rsidR="0042626A">
        <w:rPr>
          <w:rFonts w:ascii="Cambria" w:hAnsi="Cambria"/>
          <w:lang w:val="en-GB"/>
        </w:rPr>
        <w:t>,</w:t>
      </w:r>
      <w:r w:rsidR="005E1664">
        <w:rPr>
          <w:rFonts w:ascii="Cambria" w:hAnsi="Cambria"/>
          <w:lang w:val="en-GB"/>
        </w:rPr>
        <w:t xml:space="preserve"> Ukraine</w:t>
      </w:r>
      <w:r w:rsidR="0042626A">
        <w:rPr>
          <w:rFonts w:ascii="Cambria" w:hAnsi="Cambria"/>
          <w:lang w:val="en-GB"/>
        </w:rPr>
        <w:t xml:space="preserve"> and the United Kingdom</w:t>
      </w:r>
      <w:r w:rsidR="005E1664">
        <w:rPr>
          <w:rFonts w:ascii="Cambria" w:hAnsi="Cambria"/>
          <w:lang w:val="en-GB"/>
        </w:rPr>
        <w:t>.</w:t>
      </w:r>
    </w:p>
    <w:p w:rsidR="00A3414E" w:rsidRPr="00F05617" w:rsidRDefault="00A3414E" w:rsidP="00A3414E">
      <w:pPr>
        <w:pStyle w:val="c-article-bodytext"/>
        <w:spacing w:before="0" w:beforeAutospacing="0" w:after="0" w:afterAutospacing="0"/>
        <w:jc w:val="both"/>
        <w:rPr>
          <w:rFonts w:ascii="Cambria" w:hAnsi="Cambria"/>
          <w:lang w:val="en-GB"/>
        </w:rPr>
      </w:pPr>
    </w:p>
    <w:p w:rsidR="00951B3B" w:rsidRPr="00F05617" w:rsidRDefault="0013578D" w:rsidP="00A3414E">
      <w:pPr>
        <w:pStyle w:val="c-article-bodytext"/>
        <w:spacing w:before="0" w:beforeAutospacing="0" w:after="0" w:afterAutospacing="0"/>
        <w:jc w:val="both"/>
        <w:rPr>
          <w:rFonts w:ascii="Cambria" w:hAnsi="Cambria"/>
          <w:lang w:val="en-GB"/>
        </w:rPr>
      </w:pPr>
      <w:r w:rsidRPr="00F05617">
        <w:rPr>
          <w:rFonts w:ascii="Cambria" w:hAnsi="Cambria"/>
          <w:lang w:val="en-GB"/>
        </w:rPr>
        <w:t>Should the government have</w:t>
      </w:r>
      <w:r w:rsidR="00A10D90" w:rsidRPr="00F05617">
        <w:rPr>
          <w:rFonts w:ascii="Cambria" w:hAnsi="Cambria"/>
          <w:lang w:val="en-GB"/>
        </w:rPr>
        <w:t xml:space="preserve"> concerns about arbitrary application of the public interest test, </w:t>
      </w:r>
      <w:r w:rsidRPr="00F05617">
        <w:rPr>
          <w:rFonts w:ascii="Cambria" w:hAnsi="Cambria"/>
          <w:lang w:val="en-GB"/>
        </w:rPr>
        <w:t xml:space="preserve">it could </w:t>
      </w:r>
      <w:r w:rsidR="00A10D90" w:rsidRPr="00F05617">
        <w:rPr>
          <w:rFonts w:ascii="Cambria" w:hAnsi="Cambria"/>
          <w:lang w:val="en-GB"/>
        </w:rPr>
        <w:t xml:space="preserve">include </w:t>
      </w:r>
      <w:r w:rsidR="005E1664">
        <w:rPr>
          <w:rFonts w:ascii="Cambria" w:hAnsi="Cambria"/>
          <w:lang w:val="en-GB"/>
        </w:rPr>
        <w:t>within the Act</w:t>
      </w:r>
      <w:r w:rsidRPr="00F05617">
        <w:rPr>
          <w:rFonts w:ascii="Cambria" w:hAnsi="Cambria"/>
          <w:lang w:val="en-GB"/>
        </w:rPr>
        <w:t xml:space="preserve"> </w:t>
      </w:r>
      <w:r w:rsidR="00A10D90" w:rsidRPr="00F05617">
        <w:rPr>
          <w:rFonts w:ascii="Cambria" w:hAnsi="Cambria"/>
          <w:lang w:val="en-GB"/>
        </w:rPr>
        <w:t>a non-exclusive list of considerations to be taken into account</w:t>
      </w:r>
      <w:r w:rsidR="005E1664">
        <w:rPr>
          <w:rFonts w:ascii="Cambria" w:hAnsi="Cambria"/>
          <w:lang w:val="en-GB"/>
        </w:rPr>
        <w:t xml:space="preserve"> in assessing the public interest. This was </w:t>
      </w:r>
      <w:r w:rsidR="00A10D90" w:rsidRPr="00F05617">
        <w:rPr>
          <w:rFonts w:ascii="Cambria" w:hAnsi="Cambria"/>
          <w:lang w:val="en-GB"/>
        </w:rPr>
        <w:t xml:space="preserve">included in Recommendation </w:t>
      </w:r>
      <w:r w:rsidR="005E1664">
        <w:rPr>
          <w:rFonts w:ascii="Cambria" w:hAnsi="Cambria"/>
          <w:lang w:val="en-GB"/>
        </w:rPr>
        <w:t xml:space="preserve">No. </w:t>
      </w:r>
      <w:r w:rsidR="00A10D90" w:rsidRPr="00F05617">
        <w:rPr>
          <w:rFonts w:ascii="Cambria" w:hAnsi="Cambria"/>
          <w:lang w:val="en-GB"/>
        </w:rPr>
        <w:t xml:space="preserve">17 </w:t>
      </w:r>
      <w:r w:rsidR="005E1664">
        <w:rPr>
          <w:rFonts w:ascii="Cambria" w:hAnsi="Cambria"/>
          <w:lang w:val="en-GB"/>
        </w:rPr>
        <w:t xml:space="preserve">in </w:t>
      </w:r>
      <w:r w:rsidR="00A10D90" w:rsidRPr="00F05617">
        <w:rPr>
          <w:rFonts w:ascii="Cambria" w:hAnsi="Cambria"/>
          <w:lang w:val="en-GB"/>
        </w:rPr>
        <w:t>the ETHI Committee</w:t>
      </w:r>
      <w:r w:rsidR="005E1664">
        <w:rPr>
          <w:rFonts w:ascii="Cambria" w:hAnsi="Cambria"/>
          <w:lang w:val="en-GB"/>
        </w:rPr>
        <w:t xml:space="preserve"> Report</w:t>
      </w:r>
      <w:r w:rsidR="00A10D90" w:rsidRPr="00F05617">
        <w:rPr>
          <w:rFonts w:ascii="Cambria" w:hAnsi="Cambria"/>
          <w:lang w:val="en-GB"/>
        </w:rPr>
        <w:t xml:space="preserve">. </w:t>
      </w:r>
      <w:r w:rsidR="005E1664">
        <w:rPr>
          <w:rFonts w:ascii="Cambria" w:hAnsi="Cambria"/>
          <w:lang w:val="en-GB"/>
        </w:rPr>
        <w:t xml:space="preserve">If that is done, we recommend that </w:t>
      </w:r>
      <w:r w:rsidR="00A10D90" w:rsidRPr="00F05617">
        <w:rPr>
          <w:rFonts w:ascii="Cambria" w:hAnsi="Cambria"/>
          <w:lang w:val="en-GB"/>
        </w:rPr>
        <w:t>additional factors</w:t>
      </w:r>
      <w:r w:rsidRPr="00F05617">
        <w:rPr>
          <w:rFonts w:ascii="Cambria" w:hAnsi="Cambria"/>
          <w:lang w:val="en-GB"/>
        </w:rPr>
        <w:t>, such as facilitating public participation and exposing corruption,</w:t>
      </w:r>
      <w:r w:rsidR="00A10D90" w:rsidRPr="00F05617">
        <w:rPr>
          <w:rFonts w:ascii="Cambria" w:hAnsi="Cambria"/>
          <w:lang w:val="en-GB"/>
        </w:rPr>
        <w:t xml:space="preserve"> be </w:t>
      </w:r>
      <w:r w:rsidR="005E1664">
        <w:rPr>
          <w:rFonts w:ascii="Cambria" w:hAnsi="Cambria"/>
          <w:lang w:val="en-GB"/>
        </w:rPr>
        <w:t>included in the</w:t>
      </w:r>
      <w:r w:rsidRPr="00F05617">
        <w:rPr>
          <w:rFonts w:ascii="Cambria" w:hAnsi="Cambria"/>
          <w:lang w:val="en-GB"/>
        </w:rPr>
        <w:t xml:space="preserve"> list.</w:t>
      </w:r>
    </w:p>
    <w:p w:rsidR="00E60818" w:rsidRDefault="00E60818" w:rsidP="00E60818">
      <w:pPr>
        <w:rPr>
          <w:rFonts w:ascii="Cambria" w:hAnsi="Cambria"/>
        </w:rPr>
      </w:pPr>
    </w:p>
    <w:p w:rsidR="00E60818" w:rsidRPr="00F05617" w:rsidRDefault="00E60818" w:rsidP="00E60818">
      <w:pPr>
        <w:pStyle w:val="c-article-bodytext"/>
        <w:spacing w:before="0" w:beforeAutospacing="0" w:after="0" w:afterAutospacing="0"/>
        <w:jc w:val="both"/>
        <w:rPr>
          <w:rFonts w:ascii="Cambria" w:hAnsi="Cambria"/>
          <w:lang w:val="en-GB"/>
        </w:rPr>
      </w:pPr>
      <w:r w:rsidRPr="00F05617">
        <w:rPr>
          <w:rFonts w:ascii="Cambria" w:hAnsi="Cambria"/>
          <w:lang w:val="en-GB"/>
        </w:rPr>
        <w:t xml:space="preserve">Bill C-58 </w:t>
      </w:r>
      <w:r>
        <w:rPr>
          <w:rFonts w:ascii="Cambria" w:hAnsi="Cambria"/>
          <w:lang w:val="en-GB"/>
        </w:rPr>
        <w:t>does</w:t>
      </w:r>
      <w:r w:rsidRPr="00F05617">
        <w:rPr>
          <w:rFonts w:ascii="Cambria" w:hAnsi="Cambria"/>
          <w:lang w:val="en-GB"/>
        </w:rPr>
        <w:t xml:space="preserve"> not </w:t>
      </w:r>
      <w:r>
        <w:rPr>
          <w:rFonts w:ascii="Cambria" w:hAnsi="Cambria"/>
          <w:lang w:val="en-GB"/>
        </w:rPr>
        <w:t>address the current situation whereby “</w:t>
      </w:r>
      <w:r>
        <w:rPr>
          <w:rFonts w:ascii="Cambria" w:hAnsi="Cambria"/>
          <w:bCs/>
          <w:lang w:val="en-GB"/>
        </w:rPr>
        <w:t>c</w:t>
      </w:r>
      <w:r w:rsidRPr="00F05617">
        <w:rPr>
          <w:rFonts w:ascii="Cambria" w:hAnsi="Cambria"/>
          <w:bCs/>
          <w:lang w:val="en-GB"/>
        </w:rPr>
        <w:t>onfidences of the Queen</w:t>
      </w:r>
      <w:r>
        <w:rPr>
          <w:rFonts w:ascii="Cambria" w:hAnsi="Cambria"/>
          <w:bCs/>
          <w:lang w:val="en-GB"/>
        </w:rPr>
        <w:t>’s Privy Council for Canada”</w:t>
      </w:r>
      <w:r w:rsidRPr="00F05617">
        <w:rPr>
          <w:rFonts w:ascii="Cambria" w:hAnsi="Cambria"/>
          <w:bCs/>
          <w:lang w:val="en-GB"/>
        </w:rPr>
        <w:t>, also known as</w:t>
      </w:r>
      <w:r w:rsidRPr="00F05617">
        <w:rPr>
          <w:rFonts w:ascii="Cambria" w:hAnsi="Cambria"/>
          <w:b/>
          <w:bCs/>
          <w:lang w:val="en-GB"/>
        </w:rPr>
        <w:t xml:space="preserve"> </w:t>
      </w:r>
      <w:r>
        <w:rPr>
          <w:rFonts w:ascii="Cambria" w:hAnsi="Cambria"/>
          <w:lang w:val="en-GB"/>
        </w:rPr>
        <w:t>“C</w:t>
      </w:r>
      <w:r w:rsidRPr="00F05617">
        <w:rPr>
          <w:rFonts w:ascii="Cambria" w:hAnsi="Cambria"/>
          <w:lang w:val="en-GB"/>
        </w:rPr>
        <w:t>abinet confidence</w:t>
      </w:r>
      <w:r>
        <w:rPr>
          <w:rFonts w:ascii="Cambria" w:hAnsi="Cambria"/>
          <w:lang w:val="en-GB"/>
        </w:rPr>
        <w:t>s”</w:t>
      </w:r>
      <w:r w:rsidRPr="00F05617">
        <w:rPr>
          <w:rFonts w:ascii="Cambria" w:hAnsi="Cambria"/>
          <w:lang w:val="en-GB"/>
        </w:rPr>
        <w:t xml:space="preserve">, </w:t>
      </w:r>
      <w:r>
        <w:rPr>
          <w:rFonts w:ascii="Cambria" w:hAnsi="Cambria"/>
          <w:lang w:val="en-GB"/>
        </w:rPr>
        <w:t xml:space="preserve">are, pursuant </w:t>
      </w:r>
      <w:r w:rsidRPr="00F05617">
        <w:rPr>
          <w:rFonts w:ascii="Cambria" w:hAnsi="Cambria"/>
          <w:lang w:val="en-GB"/>
        </w:rPr>
        <w:t>to section 69</w:t>
      </w:r>
      <w:r>
        <w:rPr>
          <w:rFonts w:ascii="Cambria" w:hAnsi="Cambria"/>
          <w:lang w:val="en-GB"/>
        </w:rPr>
        <w:t xml:space="preserve">, simply excluded from the scope of the Act. Section 69 defines these confidences very broadly. </w:t>
      </w:r>
      <w:r w:rsidRPr="00F05617">
        <w:rPr>
          <w:rFonts w:ascii="Cambria" w:hAnsi="Cambria"/>
          <w:lang w:val="en-GB"/>
        </w:rPr>
        <w:t xml:space="preserve">This </w:t>
      </w:r>
      <w:r>
        <w:rPr>
          <w:rFonts w:ascii="Cambria" w:hAnsi="Cambria"/>
          <w:lang w:val="en-GB"/>
        </w:rPr>
        <w:t xml:space="preserve">fails to impose any harm test or public interest override to exempt this sort of </w:t>
      </w:r>
      <w:r>
        <w:rPr>
          <w:rFonts w:ascii="Cambria" w:hAnsi="Cambria"/>
          <w:lang w:val="en-GB"/>
        </w:rPr>
        <w:lastRenderedPageBreak/>
        <w:t xml:space="preserve">information. It also means that exemptions under this category are not subject to review by the Information </w:t>
      </w:r>
      <w:r w:rsidR="005325EF">
        <w:rPr>
          <w:rFonts w:ascii="Cambria" w:hAnsi="Cambria"/>
          <w:lang w:val="en-GB"/>
        </w:rPr>
        <w:t>Commissioner.</w:t>
      </w:r>
    </w:p>
    <w:p w:rsidR="005C003E" w:rsidRPr="00F05617" w:rsidRDefault="005C003E" w:rsidP="005C003E">
      <w:pPr>
        <w:pStyle w:val="c-article-bodytext"/>
        <w:spacing w:before="0" w:beforeAutospacing="0" w:after="0" w:afterAutospacing="0"/>
        <w:jc w:val="both"/>
        <w:rPr>
          <w:rFonts w:ascii="Cambria" w:hAnsi="Cambria"/>
          <w:lang w:val="en-GB"/>
        </w:rPr>
      </w:pPr>
    </w:p>
    <w:p w:rsidR="005C003E" w:rsidRPr="00F05617" w:rsidRDefault="005C003E" w:rsidP="005C003E">
      <w:pPr>
        <w:pStyle w:val="c-article-bodytext"/>
        <w:spacing w:before="0" w:beforeAutospacing="0" w:after="0" w:afterAutospacing="0"/>
        <w:jc w:val="both"/>
        <w:rPr>
          <w:rFonts w:ascii="Cambria" w:hAnsi="Cambria"/>
          <w:lang w:val="en-GB"/>
        </w:rPr>
      </w:pPr>
      <w:r w:rsidRPr="00F05617">
        <w:rPr>
          <w:rFonts w:ascii="Cambria" w:hAnsi="Cambria"/>
          <w:lang w:val="en-GB"/>
        </w:rPr>
        <w:t>Schedule II of the Act</w:t>
      </w:r>
      <w:r w:rsidR="005E1664">
        <w:rPr>
          <w:rFonts w:ascii="Cambria" w:hAnsi="Cambria"/>
          <w:lang w:val="en-GB"/>
        </w:rPr>
        <w:t xml:space="preserve"> contains a </w:t>
      </w:r>
      <w:r w:rsidRPr="00F05617">
        <w:rPr>
          <w:rFonts w:ascii="Cambria" w:eastAsia="Times New Roman" w:hAnsi="Cambria"/>
          <w:lang w:val="en-GB" w:eastAsia="en-US"/>
        </w:rPr>
        <w:t xml:space="preserve">list of 59 secrecy provisions </w:t>
      </w:r>
      <w:r w:rsidR="005E1664">
        <w:rPr>
          <w:rFonts w:ascii="Cambria" w:eastAsia="Times New Roman" w:hAnsi="Cambria"/>
          <w:lang w:val="en-GB" w:eastAsia="en-US"/>
        </w:rPr>
        <w:t xml:space="preserve">in other laws that continue to apply. </w:t>
      </w:r>
      <w:r w:rsidR="0042626A">
        <w:rPr>
          <w:rFonts w:ascii="Cambria" w:eastAsia="Times New Roman" w:hAnsi="Cambria"/>
          <w:lang w:val="en-GB" w:eastAsia="en-US"/>
        </w:rPr>
        <w:t xml:space="preserve">Not </w:t>
      </w:r>
      <w:r w:rsidR="005E1664">
        <w:rPr>
          <w:rFonts w:ascii="Cambria" w:eastAsia="Times New Roman" w:hAnsi="Cambria"/>
          <w:lang w:val="en-GB" w:eastAsia="en-US"/>
        </w:rPr>
        <w:t xml:space="preserve">all of these are </w:t>
      </w:r>
      <w:r w:rsidRPr="00F05617">
        <w:rPr>
          <w:rFonts w:ascii="Cambria" w:eastAsia="Times New Roman" w:hAnsi="Cambria"/>
          <w:lang w:val="en-GB" w:eastAsia="en-US"/>
        </w:rPr>
        <w:t>necessary</w:t>
      </w:r>
      <w:r w:rsidR="0042626A">
        <w:rPr>
          <w:rFonts w:ascii="Cambria" w:eastAsia="Times New Roman" w:hAnsi="Cambria"/>
          <w:lang w:val="en-GB" w:eastAsia="en-US"/>
        </w:rPr>
        <w:t>,</w:t>
      </w:r>
      <w:r w:rsidRPr="00F05617">
        <w:rPr>
          <w:rFonts w:ascii="Cambria" w:eastAsia="Times New Roman" w:hAnsi="Cambria"/>
          <w:lang w:val="en-GB" w:eastAsia="en-US"/>
        </w:rPr>
        <w:t xml:space="preserve"> harm tested </w:t>
      </w:r>
      <w:r w:rsidR="005E1664">
        <w:rPr>
          <w:rFonts w:ascii="Cambria" w:eastAsia="Times New Roman" w:hAnsi="Cambria"/>
          <w:lang w:val="en-GB" w:eastAsia="en-US"/>
        </w:rPr>
        <w:t>and include public interest overrides</w:t>
      </w:r>
      <w:r w:rsidRPr="00F05617">
        <w:rPr>
          <w:rFonts w:ascii="Cambria" w:eastAsia="Times New Roman" w:hAnsi="Cambria"/>
          <w:lang w:val="en-GB" w:eastAsia="en-US"/>
        </w:rPr>
        <w:t xml:space="preserve">. For example, </w:t>
      </w:r>
      <w:r w:rsidRPr="00F05617">
        <w:rPr>
          <w:rFonts w:ascii="Cambria" w:hAnsi="Cambria"/>
          <w:lang w:val="en-GB"/>
        </w:rPr>
        <w:t xml:space="preserve">section 107 of the Customs Act prohibits </w:t>
      </w:r>
      <w:r w:rsidR="005E1664">
        <w:rPr>
          <w:rFonts w:ascii="Cambria" w:hAnsi="Cambria"/>
          <w:lang w:val="en-GB"/>
        </w:rPr>
        <w:t xml:space="preserve">the </w:t>
      </w:r>
      <w:r w:rsidRPr="00F05617">
        <w:rPr>
          <w:rFonts w:ascii="Cambria" w:hAnsi="Cambria"/>
          <w:lang w:val="en-GB"/>
        </w:rPr>
        <w:t>disclosure of any information obtained by or on behalf of either the Minister of Public Safety and Emergency Preparedness or the Minister of National Revenue involving customs or the collection of public debts</w:t>
      </w:r>
      <w:r w:rsidR="005E1664">
        <w:rPr>
          <w:rFonts w:ascii="Cambria" w:hAnsi="Cambria"/>
          <w:lang w:val="en-GB"/>
        </w:rPr>
        <w:t xml:space="preserve">. This </w:t>
      </w:r>
      <w:r w:rsidRPr="00F05617">
        <w:rPr>
          <w:rFonts w:ascii="Cambria" w:hAnsi="Cambria"/>
          <w:lang w:val="en-GB"/>
        </w:rPr>
        <w:t xml:space="preserve">does not </w:t>
      </w:r>
      <w:r w:rsidR="005E1664">
        <w:rPr>
          <w:rFonts w:ascii="Cambria" w:hAnsi="Cambria"/>
          <w:lang w:val="en-GB"/>
        </w:rPr>
        <w:t xml:space="preserve">describe </w:t>
      </w:r>
      <w:r w:rsidRPr="00F05617">
        <w:rPr>
          <w:rFonts w:ascii="Cambria" w:hAnsi="Cambria"/>
          <w:lang w:val="en-GB"/>
        </w:rPr>
        <w:t xml:space="preserve">an interest </w:t>
      </w:r>
      <w:r w:rsidR="005E1664">
        <w:rPr>
          <w:rFonts w:ascii="Cambria" w:hAnsi="Cambria"/>
          <w:lang w:val="en-GB"/>
        </w:rPr>
        <w:t xml:space="preserve">which needs protection </w:t>
      </w:r>
      <w:r w:rsidRPr="00F05617">
        <w:rPr>
          <w:rFonts w:ascii="Cambria" w:hAnsi="Cambria"/>
          <w:lang w:val="en-GB"/>
        </w:rPr>
        <w:t xml:space="preserve">but, </w:t>
      </w:r>
      <w:r w:rsidR="005E1664">
        <w:rPr>
          <w:rFonts w:ascii="Cambria" w:hAnsi="Cambria"/>
          <w:lang w:val="en-GB"/>
        </w:rPr>
        <w:t xml:space="preserve">instead, </w:t>
      </w:r>
      <w:r w:rsidRPr="00F05617">
        <w:rPr>
          <w:rFonts w:ascii="Cambria" w:hAnsi="Cambria"/>
          <w:lang w:val="en-GB"/>
        </w:rPr>
        <w:t xml:space="preserve">excludes a </w:t>
      </w:r>
      <w:r w:rsidR="005E1664">
        <w:rPr>
          <w:rFonts w:ascii="Cambria" w:hAnsi="Cambria"/>
          <w:lang w:val="en-GB"/>
        </w:rPr>
        <w:t xml:space="preserve">whole </w:t>
      </w:r>
      <w:r w:rsidRPr="00F05617">
        <w:rPr>
          <w:rFonts w:ascii="Cambria" w:hAnsi="Cambria"/>
          <w:lang w:val="en-GB"/>
        </w:rPr>
        <w:t xml:space="preserve">category of information. </w:t>
      </w:r>
      <w:r w:rsidR="005E1664">
        <w:rPr>
          <w:rFonts w:ascii="Cambria" w:hAnsi="Cambria"/>
          <w:lang w:val="en-GB"/>
        </w:rPr>
        <w:t>It is</w:t>
      </w:r>
      <w:r w:rsidR="0042626A">
        <w:rPr>
          <w:rFonts w:ascii="Cambria" w:hAnsi="Cambria"/>
          <w:lang w:val="en-GB"/>
        </w:rPr>
        <w:t>, as a result,</w:t>
      </w:r>
      <w:r w:rsidR="005E1664">
        <w:rPr>
          <w:rFonts w:ascii="Cambria" w:hAnsi="Cambria"/>
          <w:lang w:val="en-GB"/>
        </w:rPr>
        <w:t xml:space="preserve"> </w:t>
      </w:r>
      <w:r w:rsidRPr="00F05617">
        <w:rPr>
          <w:rFonts w:ascii="Cambria" w:hAnsi="Cambria"/>
          <w:lang w:val="en-GB"/>
        </w:rPr>
        <w:t>overly broad</w:t>
      </w:r>
      <w:r w:rsidR="0042626A">
        <w:rPr>
          <w:rFonts w:ascii="Cambria" w:hAnsi="Cambria"/>
          <w:lang w:val="en-GB"/>
        </w:rPr>
        <w:t>,</w:t>
      </w:r>
      <w:r w:rsidRPr="00F05617">
        <w:rPr>
          <w:rFonts w:ascii="Cambria" w:hAnsi="Cambria"/>
          <w:lang w:val="en-GB"/>
        </w:rPr>
        <w:t xml:space="preserve"> </w:t>
      </w:r>
      <w:r w:rsidR="0042626A">
        <w:rPr>
          <w:rFonts w:ascii="Cambria" w:hAnsi="Cambria"/>
          <w:lang w:val="en-GB"/>
        </w:rPr>
        <w:t>lacking</w:t>
      </w:r>
      <w:r w:rsidRPr="00F05617">
        <w:rPr>
          <w:rFonts w:ascii="Cambria" w:hAnsi="Cambria"/>
          <w:lang w:val="en-GB"/>
        </w:rPr>
        <w:t xml:space="preserve"> a harm test</w:t>
      </w:r>
      <w:r w:rsidR="0042626A">
        <w:rPr>
          <w:rFonts w:ascii="Cambria" w:hAnsi="Cambria"/>
          <w:lang w:val="en-GB"/>
        </w:rPr>
        <w:t xml:space="preserve"> and public interest override</w:t>
      </w:r>
      <w:r w:rsidRPr="00F05617">
        <w:rPr>
          <w:rFonts w:ascii="Cambria" w:hAnsi="Cambria"/>
          <w:lang w:val="en-GB"/>
        </w:rPr>
        <w:t>.</w:t>
      </w:r>
      <w:r w:rsidR="005E1664">
        <w:rPr>
          <w:rFonts w:ascii="Cambria" w:hAnsi="Cambria"/>
          <w:lang w:val="en-GB"/>
        </w:rPr>
        <w:t xml:space="preserve"> No doubt other provisions in this list are similarly problematical. </w:t>
      </w:r>
    </w:p>
    <w:p w:rsidR="0024580E" w:rsidRPr="00F05617" w:rsidRDefault="0024580E">
      <w:pPr>
        <w:rPr>
          <w:rFonts w:ascii="Cambria" w:hAnsi="Cambria"/>
          <w:b/>
          <w:sz w:val="28"/>
          <w:szCs w:val="28"/>
        </w:rPr>
      </w:pPr>
    </w:p>
    <w:p w:rsidR="00AE2466" w:rsidRPr="007A21F9" w:rsidRDefault="00AE2466" w:rsidP="007A21F9">
      <w:pPr>
        <w:pStyle w:val="Heading1"/>
        <w:rPr>
          <w:rFonts w:asciiTheme="minorHAnsi" w:hAnsiTheme="minorHAnsi"/>
          <w:sz w:val="28"/>
        </w:rPr>
      </w:pPr>
      <w:r w:rsidRPr="007A21F9">
        <w:rPr>
          <w:rFonts w:asciiTheme="minorHAnsi" w:hAnsiTheme="minorHAnsi"/>
          <w:sz w:val="28"/>
        </w:rPr>
        <w:t>Appeals</w:t>
      </w:r>
    </w:p>
    <w:p w:rsidR="00922981" w:rsidRDefault="006126E1" w:rsidP="00922981">
      <w:pPr>
        <w:jc w:val="both"/>
        <w:rPr>
          <w:rFonts w:ascii="Cambria" w:hAnsi="Cambria"/>
        </w:rPr>
      </w:pPr>
      <w:r w:rsidRPr="00F05617">
        <w:rPr>
          <w:rFonts w:ascii="Cambria" w:hAnsi="Cambria"/>
        </w:rPr>
        <w:t xml:space="preserve">As </w:t>
      </w:r>
      <w:r w:rsidR="00922981">
        <w:rPr>
          <w:rFonts w:ascii="Cambria" w:hAnsi="Cambria"/>
        </w:rPr>
        <w:t>noted above</w:t>
      </w:r>
      <w:r w:rsidRPr="00F05617">
        <w:rPr>
          <w:rFonts w:ascii="Cambria" w:hAnsi="Cambria"/>
        </w:rPr>
        <w:t xml:space="preserve">, </w:t>
      </w:r>
      <w:r w:rsidR="00922981">
        <w:rPr>
          <w:rFonts w:ascii="Cambria" w:hAnsi="Cambria"/>
        </w:rPr>
        <w:t>Bill C-58 would finally give the Information C</w:t>
      </w:r>
      <w:r w:rsidR="004F4228" w:rsidRPr="00F05617">
        <w:rPr>
          <w:rFonts w:ascii="Cambria" w:hAnsi="Cambria"/>
        </w:rPr>
        <w:t xml:space="preserve">ommissioner </w:t>
      </w:r>
      <w:r w:rsidRPr="00F05617">
        <w:rPr>
          <w:rFonts w:ascii="Cambria" w:hAnsi="Cambria"/>
        </w:rPr>
        <w:t>order making powers</w:t>
      </w:r>
      <w:r w:rsidR="00922981">
        <w:rPr>
          <w:rFonts w:ascii="Cambria" w:hAnsi="Cambria"/>
        </w:rPr>
        <w:t>, something CLD has welcomed. We note, however, that there is no clear procedure for certifying the</w:t>
      </w:r>
      <w:r w:rsidRPr="00F05617">
        <w:rPr>
          <w:rFonts w:ascii="Cambria" w:hAnsi="Cambria"/>
        </w:rPr>
        <w:t xml:space="preserve"> </w:t>
      </w:r>
      <w:r w:rsidR="00922981">
        <w:rPr>
          <w:rFonts w:ascii="Cambria" w:hAnsi="Cambria"/>
        </w:rPr>
        <w:t xml:space="preserve">orders of the Information Commissioner as orders of the Federal Court, or for the Commissioner to enforce orders through the courts. This leaves open the possibility that public authorities may simply ignore ‘orders’ of the Commissioner, something that has been a problem in </w:t>
      </w:r>
      <w:r w:rsidR="000B5537">
        <w:rPr>
          <w:rFonts w:ascii="Cambria" w:hAnsi="Cambria"/>
        </w:rPr>
        <w:t>other</w:t>
      </w:r>
      <w:r w:rsidR="00922981">
        <w:rPr>
          <w:rFonts w:ascii="Cambria" w:hAnsi="Cambria"/>
        </w:rPr>
        <w:t xml:space="preserve"> countries. </w:t>
      </w:r>
    </w:p>
    <w:p w:rsidR="00922981" w:rsidRDefault="00922981" w:rsidP="00922981">
      <w:pPr>
        <w:jc w:val="both"/>
        <w:rPr>
          <w:rFonts w:ascii="Cambria" w:hAnsi="Cambria"/>
        </w:rPr>
      </w:pPr>
    </w:p>
    <w:p w:rsidR="005C003E" w:rsidRDefault="00922981" w:rsidP="00E60818">
      <w:pPr>
        <w:jc w:val="both"/>
        <w:rPr>
          <w:rFonts w:ascii="Cambria" w:hAnsi="Cambria"/>
        </w:rPr>
      </w:pPr>
      <w:r>
        <w:rPr>
          <w:rFonts w:ascii="Cambria" w:hAnsi="Cambria"/>
        </w:rPr>
        <w:t xml:space="preserve">Review by the courts of orders of the Information Commissioner would be </w:t>
      </w:r>
      <w:r>
        <w:rPr>
          <w:rFonts w:ascii="Cambria" w:hAnsi="Cambria"/>
          <w:i/>
        </w:rPr>
        <w:t>de novo</w:t>
      </w:r>
      <w:r>
        <w:rPr>
          <w:rFonts w:ascii="Cambria" w:hAnsi="Cambria"/>
        </w:rPr>
        <w:t xml:space="preserve">, meaning that new </w:t>
      </w:r>
      <w:r w:rsidR="00D900C0">
        <w:rPr>
          <w:rFonts w:ascii="Cambria" w:hAnsi="Cambria"/>
        </w:rPr>
        <w:t xml:space="preserve">facts and </w:t>
      </w:r>
      <w:r>
        <w:rPr>
          <w:rFonts w:ascii="Cambria" w:hAnsi="Cambria"/>
        </w:rPr>
        <w:t xml:space="preserve">issues, including new claims regarding exceptions, </w:t>
      </w:r>
      <w:r w:rsidR="000B5537">
        <w:rPr>
          <w:rFonts w:ascii="Cambria" w:hAnsi="Cambria"/>
        </w:rPr>
        <w:t xml:space="preserve">could </w:t>
      </w:r>
      <w:r>
        <w:rPr>
          <w:rFonts w:ascii="Cambria" w:hAnsi="Cambria"/>
        </w:rPr>
        <w:t xml:space="preserve">be introduced at that point. </w:t>
      </w:r>
      <w:r w:rsidR="00D900C0">
        <w:rPr>
          <w:rFonts w:ascii="Cambria" w:hAnsi="Cambria"/>
        </w:rPr>
        <w:t xml:space="preserve">This is problematical. One option would be to limit review of Information Commissioner orders to the standard of judicial review, thereby precluding the introduction of new issues and imposing a lower standard of review. Alternately, a modified </w:t>
      </w:r>
      <w:r w:rsidR="00D900C0">
        <w:rPr>
          <w:rFonts w:ascii="Cambria" w:hAnsi="Cambria"/>
          <w:i/>
        </w:rPr>
        <w:t xml:space="preserve">de novo </w:t>
      </w:r>
      <w:r w:rsidR="00D900C0">
        <w:rPr>
          <w:rFonts w:ascii="Cambria" w:hAnsi="Cambria"/>
        </w:rPr>
        <w:t xml:space="preserve">review standard could be employed, which precluded public authorities from making new claims about exceptions following the appeal before the Information Commissioner. </w:t>
      </w:r>
    </w:p>
    <w:p w:rsidR="00C82482" w:rsidRPr="00F05617" w:rsidRDefault="00C82482" w:rsidP="004A2B36">
      <w:pPr>
        <w:rPr>
          <w:rFonts w:ascii="Cambria" w:hAnsi="Cambria"/>
        </w:rPr>
      </w:pPr>
    </w:p>
    <w:p w:rsidR="00C82482" w:rsidRPr="007A21F9" w:rsidRDefault="00C82482" w:rsidP="007A21F9">
      <w:pPr>
        <w:pStyle w:val="Heading1"/>
        <w:rPr>
          <w:rFonts w:asciiTheme="minorHAnsi" w:hAnsiTheme="minorHAnsi"/>
          <w:sz w:val="28"/>
        </w:rPr>
      </w:pPr>
      <w:r w:rsidRPr="007A21F9">
        <w:rPr>
          <w:rFonts w:asciiTheme="minorHAnsi" w:hAnsiTheme="minorHAnsi"/>
          <w:sz w:val="28"/>
        </w:rPr>
        <w:t>Conclusion</w:t>
      </w:r>
      <w:r w:rsidR="007A21F9">
        <w:rPr>
          <w:rFonts w:asciiTheme="minorHAnsi" w:hAnsiTheme="minorHAnsi"/>
          <w:sz w:val="28"/>
        </w:rPr>
        <w:t xml:space="preserve"> and Recommendations</w:t>
      </w:r>
    </w:p>
    <w:p w:rsidR="009418F6" w:rsidRPr="00F05617" w:rsidRDefault="003023D5" w:rsidP="00A3414E">
      <w:pPr>
        <w:jc w:val="both"/>
        <w:rPr>
          <w:rFonts w:ascii="Cambria" w:hAnsi="Cambria"/>
        </w:rPr>
      </w:pPr>
      <w:r>
        <w:rPr>
          <w:rFonts w:ascii="Cambria" w:hAnsi="Cambria"/>
        </w:rPr>
        <w:t xml:space="preserve">Bill C-58 does represent some </w:t>
      </w:r>
      <w:r w:rsidR="009418F6" w:rsidRPr="00F05617">
        <w:rPr>
          <w:rFonts w:ascii="Cambria" w:hAnsi="Cambria"/>
        </w:rPr>
        <w:t>progress</w:t>
      </w:r>
      <w:r>
        <w:rPr>
          <w:rFonts w:ascii="Cambria" w:hAnsi="Cambria"/>
        </w:rPr>
        <w:t xml:space="preserve"> inasmuch as it gives the Information Commissioner order making powers and imposes at least formal proactive publication obligations on a number of bodies. However, Canadians have been waiting for decades for reform of the </w:t>
      </w:r>
      <w:r w:rsidR="00C82482" w:rsidRPr="00F05617">
        <w:rPr>
          <w:rFonts w:ascii="Cambria" w:hAnsi="Cambria"/>
        </w:rPr>
        <w:t xml:space="preserve">ATIA </w:t>
      </w:r>
      <w:r>
        <w:rPr>
          <w:rFonts w:ascii="Cambria" w:hAnsi="Cambria"/>
        </w:rPr>
        <w:t xml:space="preserve">and </w:t>
      </w:r>
      <w:r w:rsidR="000B5537">
        <w:rPr>
          <w:rFonts w:ascii="Cambria" w:hAnsi="Cambria"/>
        </w:rPr>
        <w:t xml:space="preserve">these proposals are </w:t>
      </w:r>
      <w:r>
        <w:rPr>
          <w:rFonts w:ascii="Cambria" w:hAnsi="Cambria"/>
        </w:rPr>
        <w:t xml:space="preserve">simply not enough. </w:t>
      </w:r>
      <w:r w:rsidR="008C08A2" w:rsidRPr="00F05617">
        <w:rPr>
          <w:rFonts w:ascii="Cambria" w:hAnsi="Cambria"/>
        </w:rPr>
        <w:t xml:space="preserve">The Centre for Law and Democracy has consistently called for a major overhaul </w:t>
      </w:r>
      <w:r w:rsidR="00275C80">
        <w:rPr>
          <w:rFonts w:ascii="Cambria" w:hAnsi="Cambria"/>
        </w:rPr>
        <w:t xml:space="preserve">of the Act. </w:t>
      </w:r>
      <w:r w:rsidR="008C08A2" w:rsidRPr="00F05617">
        <w:rPr>
          <w:rFonts w:ascii="Cambria" w:hAnsi="Cambria"/>
        </w:rPr>
        <w:t xml:space="preserve">Canada can no longer afford to approach </w:t>
      </w:r>
      <w:r w:rsidR="00275C80">
        <w:rPr>
          <w:rFonts w:ascii="Cambria" w:hAnsi="Cambria"/>
        </w:rPr>
        <w:t xml:space="preserve">this </w:t>
      </w:r>
      <w:r w:rsidR="008C08A2" w:rsidRPr="00F05617">
        <w:rPr>
          <w:rFonts w:ascii="Cambria" w:hAnsi="Cambria"/>
        </w:rPr>
        <w:t>reform process through negligible tinkering with the ATIA</w:t>
      </w:r>
      <w:r w:rsidR="00275C80">
        <w:rPr>
          <w:rFonts w:ascii="Cambria" w:hAnsi="Cambria"/>
        </w:rPr>
        <w:t xml:space="preserve">. If it does, </w:t>
      </w:r>
      <w:r w:rsidR="008C08A2" w:rsidRPr="00F05617">
        <w:rPr>
          <w:rFonts w:ascii="Cambria" w:hAnsi="Cambria"/>
        </w:rPr>
        <w:t xml:space="preserve">it will continue to </w:t>
      </w:r>
      <w:r w:rsidR="00275C80">
        <w:rPr>
          <w:rFonts w:ascii="Cambria" w:hAnsi="Cambria"/>
        </w:rPr>
        <w:t xml:space="preserve">languish behind other countries, hardly moving from its current position of </w:t>
      </w:r>
      <w:r w:rsidR="008C08A2" w:rsidRPr="00F05617">
        <w:rPr>
          <w:rFonts w:ascii="Cambria" w:hAnsi="Cambria"/>
        </w:rPr>
        <w:t>49</w:t>
      </w:r>
      <w:r w:rsidR="008C08A2" w:rsidRPr="00F05617">
        <w:rPr>
          <w:rFonts w:ascii="Cambria" w:hAnsi="Cambria"/>
          <w:vertAlign w:val="superscript"/>
        </w:rPr>
        <w:t>th</w:t>
      </w:r>
      <w:r w:rsidR="008C08A2" w:rsidRPr="00F05617">
        <w:rPr>
          <w:rFonts w:ascii="Cambria" w:hAnsi="Cambria"/>
        </w:rPr>
        <w:t xml:space="preserve"> place </w:t>
      </w:r>
      <w:r w:rsidR="000B5537">
        <w:rPr>
          <w:rFonts w:ascii="Cambria" w:hAnsi="Cambria"/>
        </w:rPr>
        <w:lastRenderedPageBreak/>
        <w:t xml:space="preserve">globally from among countries with </w:t>
      </w:r>
      <w:r w:rsidR="00275C80">
        <w:rPr>
          <w:rFonts w:ascii="Cambria" w:hAnsi="Cambria"/>
        </w:rPr>
        <w:t xml:space="preserve">access to information </w:t>
      </w:r>
      <w:r w:rsidR="000B5537">
        <w:rPr>
          <w:rFonts w:ascii="Cambria" w:hAnsi="Cambria"/>
        </w:rPr>
        <w:t>laws</w:t>
      </w:r>
      <w:r w:rsidR="00257F60" w:rsidRPr="00F05617">
        <w:rPr>
          <w:rFonts w:ascii="Cambria" w:hAnsi="Cambria"/>
        </w:rPr>
        <w:t>.</w:t>
      </w:r>
      <w:r w:rsidR="008C08A2" w:rsidRPr="00F05617">
        <w:rPr>
          <w:rStyle w:val="FootnoteReference"/>
          <w:rFonts w:ascii="Cambria" w:hAnsi="Cambria"/>
        </w:rPr>
        <w:footnoteReference w:id="24"/>
      </w:r>
      <w:r w:rsidR="008C08A2" w:rsidRPr="00F05617">
        <w:rPr>
          <w:rFonts w:ascii="Cambria" w:hAnsi="Cambria"/>
        </w:rPr>
        <w:t xml:space="preserve"> </w:t>
      </w:r>
      <w:r w:rsidR="001D7185" w:rsidRPr="00F05617">
        <w:rPr>
          <w:rFonts w:ascii="Cambria" w:hAnsi="Cambria"/>
        </w:rPr>
        <w:t>It is time for the government to act decisively</w:t>
      </w:r>
      <w:r w:rsidR="000B5537">
        <w:rPr>
          <w:rFonts w:ascii="Cambria" w:hAnsi="Cambria"/>
        </w:rPr>
        <w:t>,</w:t>
      </w:r>
      <w:r w:rsidR="001D7185" w:rsidRPr="00F05617">
        <w:rPr>
          <w:rFonts w:ascii="Cambria" w:hAnsi="Cambria"/>
        </w:rPr>
        <w:t xml:space="preserve"> </w:t>
      </w:r>
      <w:r w:rsidR="00275C80">
        <w:rPr>
          <w:rFonts w:ascii="Cambria" w:hAnsi="Cambria"/>
        </w:rPr>
        <w:t xml:space="preserve">to </w:t>
      </w:r>
      <w:r w:rsidR="001D7185" w:rsidRPr="00F05617">
        <w:rPr>
          <w:rFonts w:ascii="Cambria" w:hAnsi="Cambria"/>
        </w:rPr>
        <w:t xml:space="preserve">deliver </w:t>
      </w:r>
      <w:r w:rsidR="00275C80">
        <w:rPr>
          <w:rFonts w:ascii="Cambria" w:hAnsi="Cambria"/>
        </w:rPr>
        <w:t xml:space="preserve">properly on </w:t>
      </w:r>
      <w:r w:rsidR="001D7185" w:rsidRPr="00F05617">
        <w:rPr>
          <w:rFonts w:ascii="Cambria" w:hAnsi="Cambria"/>
        </w:rPr>
        <w:t xml:space="preserve">the promises </w:t>
      </w:r>
      <w:r w:rsidR="00275C80">
        <w:rPr>
          <w:rFonts w:ascii="Cambria" w:hAnsi="Cambria"/>
        </w:rPr>
        <w:t xml:space="preserve">it </w:t>
      </w:r>
      <w:r w:rsidR="001D7185" w:rsidRPr="00F05617">
        <w:rPr>
          <w:rFonts w:ascii="Cambria" w:hAnsi="Cambria"/>
        </w:rPr>
        <w:t>made in 2015</w:t>
      </w:r>
      <w:r w:rsidR="00FE28D8">
        <w:rPr>
          <w:rFonts w:ascii="Cambria" w:hAnsi="Cambria"/>
        </w:rPr>
        <w:t xml:space="preserve"> and</w:t>
      </w:r>
      <w:r w:rsidR="000B5537">
        <w:rPr>
          <w:rFonts w:ascii="Cambria" w:hAnsi="Cambria"/>
        </w:rPr>
        <w:t>, indeed,</w:t>
      </w:r>
      <w:r w:rsidR="00FE28D8">
        <w:rPr>
          <w:rFonts w:ascii="Cambria" w:hAnsi="Cambria"/>
        </w:rPr>
        <w:t xml:space="preserve"> to address other major access to information law reform needs</w:t>
      </w:r>
      <w:r w:rsidR="001D7185" w:rsidRPr="00F05617">
        <w:rPr>
          <w:rFonts w:ascii="Cambria" w:hAnsi="Cambria"/>
        </w:rPr>
        <w:t>.</w:t>
      </w:r>
    </w:p>
    <w:p w:rsidR="003023D5" w:rsidRPr="00004138" w:rsidRDefault="003023D5" w:rsidP="003023D5">
      <w:pPr>
        <w:jc w:val="both"/>
        <w:rPr>
          <w:rFonts w:ascii="Cambria" w:hAnsi="Cambria"/>
        </w:rPr>
      </w:pPr>
    </w:p>
    <w:tbl>
      <w:tblPr>
        <w:tblW w:w="0" w:type="auto"/>
        <w:tblBorders>
          <w:top w:val="single" w:sz="4" w:space="0" w:color="000000"/>
          <w:left w:val="single" w:sz="4" w:space="0" w:color="000000"/>
          <w:bottom w:val="single" w:sz="4" w:space="0" w:color="000000"/>
          <w:right w:val="single" w:sz="4" w:space="0" w:color="000000"/>
        </w:tblBorders>
        <w:shd w:val="clear" w:color="auto" w:fill="1172B7"/>
        <w:tblLook w:val="00BF" w:firstRow="1" w:lastRow="0" w:firstColumn="1" w:lastColumn="0" w:noHBand="0" w:noVBand="0"/>
      </w:tblPr>
      <w:tblGrid>
        <w:gridCol w:w="9464"/>
      </w:tblGrid>
      <w:tr w:rsidR="003023D5" w:rsidRPr="00004138">
        <w:tc>
          <w:tcPr>
            <w:tcW w:w="9464" w:type="dxa"/>
            <w:shd w:val="clear" w:color="auto" w:fill="1172B7"/>
          </w:tcPr>
          <w:p w:rsidR="003023D5" w:rsidRPr="00004138" w:rsidRDefault="003023D5" w:rsidP="003023D5">
            <w:pPr>
              <w:jc w:val="center"/>
              <w:rPr>
                <w:rFonts w:ascii="Cambria" w:hAnsi="Cambria"/>
                <w:b/>
                <w:color w:val="FFFFFF"/>
              </w:rPr>
            </w:pPr>
          </w:p>
          <w:p w:rsidR="003023D5" w:rsidRPr="00004138" w:rsidRDefault="003023D5" w:rsidP="003023D5">
            <w:pPr>
              <w:jc w:val="center"/>
              <w:rPr>
                <w:rFonts w:ascii="Cambria" w:hAnsi="Cambria"/>
                <w:b/>
                <w:color w:val="FFFFFF"/>
              </w:rPr>
            </w:pPr>
            <w:r w:rsidRPr="00004138">
              <w:rPr>
                <w:rFonts w:ascii="Cambria" w:hAnsi="Cambria"/>
                <w:b/>
                <w:color w:val="FFFFFF"/>
              </w:rPr>
              <w:t>Recommendations:</w:t>
            </w:r>
          </w:p>
          <w:p w:rsidR="003023D5" w:rsidRPr="00271B1D" w:rsidRDefault="003023D5" w:rsidP="003023D5">
            <w:pPr>
              <w:jc w:val="center"/>
              <w:rPr>
                <w:rFonts w:ascii="Cambria" w:hAnsi="Cambria"/>
                <w:b/>
                <w:color w:val="FFFFFF"/>
              </w:rPr>
            </w:pPr>
          </w:p>
          <w:p w:rsidR="003023D5" w:rsidRPr="003023D5" w:rsidRDefault="002C4285" w:rsidP="003023D5">
            <w:pPr>
              <w:pStyle w:val="ListParagraph"/>
              <w:numPr>
                <w:ilvl w:val="0"/>
                <w:numId w:val="5"/>
              </w:numPr>
              <w:ind w:left="567" w:right="176"/>
              <w:jc w:val="both"/>
              <w:rPr>
                <w:rFonts w:ascii="Cambria" w:hAnsi="Cambria"/>
                <w:color w:val="FFFFFF" w:themeColor="background1"/>
              </w:rPr>
            </w:pPr>
            <w:r>
              <w:rPr>
                <w:rFonts w:ascii="Cambria" w:hAnsi="Cambria"/>
                <w:color w:val="FFFFFF" w:themeColor="background1"/>
              </w:rPr>
              <w:t>T</w:t>
            </w:r>
            <w:r w:rsidR="003023D5" w:rsidRPr="003023D5">
              <w:rPr>
                <w:rFonts w:ascii="Cambria" w:hAnsi="Cambria"/>
                <w:color w:val="FFFFFF" w:themeColor="background1"/>
              </w:rPr>
              <w:t xml:space="preserve">he scope of the Act </w:t>
            </w:r>
            <w:r>
              <w:rPr>
                <w:rFonts w:ascii="Cambria" w:hAnsi="Cambria"/>
                <w:color w:val="FFFFFF" w:themeColor="background1"/>
              </w:rPr>
              <w:t xml:space="preserve">should be expanded </w:t>
            </w:r>
            <w:r w:rsidR="0038569D">
              <w:rPr>
                <w:rFonts w:ascii="Cambria" w:hAnsi="Cambria"/>
                <w:color w:val="FFFFFF" w:themeColor="background1"/>
              </w:rPr>
              <w:t xml:space="preserve">in terms of both proactive disclosure and </w:t>
            </w:r>
            <w:r w:rsidR="001A2BB9">
              <w:rPr>
                <w:rFonts w:ascii="Cambria" w:hAnsi="Cambria"/>
                <w:color w:val="FFFFFF" w:themeColor="background1"/>
              </w:rPr>
              <w:t xml:space="preserve">the right to make </w:t>
            </w:r>
            <w:r w:rsidR="0038569D">
              <w:rPr>
                <w:rFonts w:ascii="Cambria" w:hAnsi="Cambria"/>
                <w:color w:val="FFFFFF" w:themeColor="background1"/>
              </w:rPr>
              <w:t xml:space="preserve">requests </w:t>
            </w:r>
            <w:r w:rsidR="003023D5" w:rsidRPr="003023D5">
              <w:rPr>
                <w:rFonts w:ascii="Cambria" w:hAnsi="Cambria"/>
                <w:color w:val="FFFFFF" w:themeColor="background1"/>
              </w:rPr>
              <w:t xml:space="preserve">to cover </w:t>
            </w:r>
            <w:r>
              <w:rPr>
                <w:rFonts w:ascii="Cambria" w:hAnsi="Cambria"/>
                <w:color w:val="FFFFFF" w:themeColor="background1"/>
              </w:rPr>
              <w:t>not only the offices of the Prime Minister and Ministers</w:t>
            </w:r>
            <w:r w:rsidR="003023D5" w:rsidRPr="003023D5">
              <w:rPr>
                <w:rFonts w:ascii="Cambria" w:hAnsi="Cambria"/>
                <w:color w:val="FFFFFF" w:themeColor="background1"/>
              </w:rPr>
              <w:t xml:space="preserve"> and the administrative institutions that support Parliament and the courts</w:t>
            </w:r>
            <w:r>
              <w:rPr>
                <w:rFonts w:ascii="Cambria" w:hAnsi="Cambria"/>
                <w:color w:val="FFFFFF" w:themeColor="background1"/>
              </w:rPr>
              <w:t xml:space="preserve">, but also all other State actors </w:t>
            </w:r>
            <w:r w:rsidR="001A2BB9">
              <w:rPr>
                <w:rFonts w:ascii="Cambria" w:hAnsi="Cambria"/>
                <w:color w:val="FFFFFF" w:themeColor="background1"/>
              </w:rPr>
              <w:t>as well as</w:t>
            </w:r>
            <w:r>
              <w:rPr>
                <w:rFonts w:ascii="Cambria" w:hAnsi="Cambria"/>
                <w:color w:val="FFFFFF" w:themeColor="background1"/>
              </w:rPr>
              <w:t xml:space="preserve"> private bodies </w:t>
            </w:r>
            <w:r w:rsidR="001A2BB9">
              <w:rPr>
                <w:rFonts w:ascii="Cambria" w:hAnsi="Cambria"/>
                <w:color w:val="FFFFFF" w:themeColor="background1"/>
              </w:rPr>
              <w:t>that undertake public functions or operate</w:t>
            </w:r>
            <w:r>
              <w:rPr>
                <w:rFonts w:ascii="Cambria" w:hAnsi="Cambria"/>
                <w:color w:val="FFFFFF" w:themeColor="background1"/>
              </w:rPr>
              <w:t xml:space="preserve"> with public funding that are not already covered</w:t>
            </w:r>
            <w:r w:rsidR="003023D5" w:rsidRPr="003023D5">
              <w:rPr>
                <w:rFonts w:ascii="Cambria" w:hAnsi="Cambria"/>
                <w:color w:val="FFFFFF" w:themeColor="background1"/>
              </w:rPr>
              <w:t>.</w:t>
            </w:r>
          </w:p>
          <w:p w:rsidR="0038569D" w:rsidRDefault="0038569D" w:rsidP="003023D5">
            <w:pPr>
              <w:pStyle w:val="ListParagraph"/>
              <w:numPr>
                <w:ilvl w:val="0"/>
                <w:numId w:val="5"/>
              </w:numPr>
              <w:ind w:left="567" w:right="176"/>
              <w:jc w:val="both"/>
              <w:rPr>
                <w:rFonts w:ascii="Cambria" w:hAnsi="Cambria"/>
                <w:color w:val="FFFFFF" w:themeColor="background1"/>
              </w:rPr>
            </w:pPr>
            <w:r>
              <w:rPr>
                <w:rFonts w:ascii="Cambria" w:hAnsi="Cambria"/>
                <w:color w:val="FFFFFF" w:themeColor="background1"/>
              </w:rPr>
              <w:t>The Act should also be expanded to allow everyone, including non-Canadian residents or citizens, to make requests for information.</w:t>
            </w:r>
          </w:p>
          <w:p w:rsidR="003023D5" w:rsidRPr="003023D5" w:rsidRDefault="0038569D" w:rsidP="003023D5">
            <w:pPr>
              <w:pStyle w:val="ListParagraph"/>
              <w:numPr>
                <w:ilvl w:val="0"/>
                <w:numId w:val="5"/>
              </w:numPr>
              <w:ind w:left="567" w:right="176"/>
              <w:jc w:val="both"/>
              <w:rPr>
                <w:rFonts w:ascii="Cambria" w:hAnsi="Cambria"/>
                <w:color w:val="FFFFFF" w:themeColor="background1"/>
              </w:rPr>
            </w:pPr>
            <w:r>
              <w:rPr>
                <w:rFonts w:ascii="Cambria" w:hAnsi="Cambria"/>
                <w:color w:val="FFFFFF" w:themeColor="background1"/>
              </w:rPr>
              <w:t xml:space="preserve">Public authorities should be under a </w:t>
            </w:r>
            <w:r w:rsidR="003023D5" w:rsidRPr="003023D5">
              <w:rPr>
                <w:rFonts w:ascii="Cambria" w:hAnsi="Cambria"/>
                <w:color w:val="FFFFFF" w:themeColor="background1"/>
              </w:rPr>
              <w:t>duty to document key decision-making processes.</w:t>
            </w:r>
          </w:p>
          <w:p w:rsidR="0038569D" w:rsidRDefault="0038569D" w:rsidP="003023D5">
            <w:pPr>
              <w:pStyle w:val="ListParagraph"/>
              <w:numPr>
                <w:ilvl w:val="0"/>
                <w:numId w:val="5"/>
              </w:numPr>
              <w:ind w:left="567" w:right="176"/>
              <w:jc w:val="both"/>
              <w:rPr>
                <w:rFonts w:ascii="Cambria" w:hAnsi="Cambria"/>
                <w:color w:val="FFFFFF" w:themeColor="background1"/>
              </w:rPr>
            </w:pPr>
            <w:r>
              <w:rPr>
                <w:rFonts w:ascii="Cambria" w:hAnsi="Cambria"/>
                <w:color w:val="FFFFFF" w:themeColor="background1"/>
              </w:rPr>
              <w:t>A</w:t>
            </w:r>
            <w:r w:rsidR="003023D5" w:rsidRPr="003023D5">
              <w:rPr>
                <w:rFonts w:ascii="Cambria" w:hAnsi="Cambria"/>
                <w:color w:val="FFFFFF" w:themeColor="background1"/>
              </w:rPr>
              <w:t xml:space="preserve"> robust system </w:t>
            </w:r>
            <w:r>
              <w:rPr>
                <w:rFonts w:ascii="Cambria" w:hAnsi="Cambria"/>
                <w:color w:val="FFFFFF" w:themeColor="background1"/>
              </w:rPr>
              <w:t>should be put in place to limit</w:t>
            </w:r>
            <w:r w:rsidR="003023D5" w:rsidRPr="003023D5">
              <w:rPr>
                <w:rFonts w:ascii="Cambria" w:hAnsi="Cambria"/>
                <w:color w:val="FFFFFF" w:themeColor="background1"/>
              </w:rPr>
              <w:t xml:space="preserve"> the discretion of public authorities to extend the time limits for responding to requests.</w:t>
            </w:r>
          </w:p>
          <w:p w:rsidR="0038569D" w:rsidRDefault="0038569D" w:rsidP="003023D5">
            <w:pPr>
              <w:pStyle w:val="ListParagraph"/>
              <w:numPr>
                <w:ilvl w:val="0"/>
                <w:numId w:val="5"/>
              </w:numPr>
              <w:ind w:left="567" w:right="176"/>
              <w:jc w:val="both"/>
              <w:rPr>
                <w:rFonts w:ascii="Cambria" w:hAnsi="Cambria"/>
                <w:color w:val="FFFFFF" w:themeColor="background1"/>
              </w:rPr>
            </w:pPr>
            <w:r>
              <w:rPr>
                <w:rFonts w:ascii="Cambria" w:hAnsi="Cambria"/>
                <w:color w:val="FFFFFF" w:themeColor="background1"/>
              </w:rPr>
              <w:t>All fees for both lodging and responding to requests should be done away with.</w:t>
            </w:r>
          </w:p>
          <w:p w:rsidR="003023D5" w:rsidRPr="003023D5" w:rsidRDefault="0038569D" w:rsidP="003023D5">
            <w:pPr>
              <w:pStyle w:val="ListParagraph"/>
              <w:numPr>
                <w:ilvl w:val="0"/>
                <w:numId w:val="5"/>
              </w:numPr>
              <w:ind w:left="567" w:right="176"/>
              <w:jc w:val="both"/>
              <w:rPr>
                <w:rFonts w:ascii="Cambria" w:hAnsi="Cambria"/>
                <w:color w:val="FFFFFF" w:themeColor="background1"/>
              </w:rPr>
            </w:pPr>
            <w:r>
              <w:rPr>
                <w:rFonts w:ascii="Cambria" w:hAnsi="Cambria"/>
                <w:color w:val="FFFFFF" w:themeColor="background1"/>
              </w:rPr>
              <w:t xml:space="preserve">The proposed new requirements in section 6 relating to how requests </w:t>
            </w:r>
            <w:r w:rsidR="00666A92">
              <w:rPr>
                <w:rFonts w:ascii="Cambria" w:hAnsi="Cambria"/>
                <w:color w:val="FFFFFF" w:themeColor="background1"/>
              </w:rPr>
              <w:t>must</w:t>
            </w:r>
            <w:r>
              <w:rPr>
                <w:rFonts w:ascii="Cambria" w:hAnsi="Cambria"/>
                <w:color w:val="FFFFFF" w:themeColor="background1"/>
              </w:rPr>
              <w:t xml:space="preserve"> describe the information being requested should be removed. </w:t>
            </w:r>
          </w:p>
          <w:p w:rsidR="003023D5" w:rsidRPr="003023D5" w:rsidRDefault="0038569D" w:rsidP="003023D5">
            <w:pPr>
              <w:pStyle w:val="ListParagraph"/>
              <w:numPr>
                <w:ilvl w:val="0"/>
                <w:numId w:val="5"/>
              </w:numPr>
              <w:ind w:left="567" w:right="176"/>
              <w:jc w:val="both"/>
              <w:rPr>
                <w:rFonts w:ascii="Cambria" w:hAnsi="Cambria"/>
                <w:color w:val="FFFFFF" w:themeColor="background1"/>
              </w:rPr>
            </w:pPr>
            <w:r>
              <w:rPr>
                <w:rFonts w:ascii="Cambria" w:hAnsi="Cambria"/>
                <w:color w:val="FFFFFF" w:themeColor="background1"/>
              </w:rPr>
              <w:t>R</w:t>
            </w:r>
            <w:r w:rsidR="003023D5" w:rsidRPr="003023D5">
              <w:rPr>
                <w:rFonts w:ascii="Cambria" w:hAnsi="Cambria"/>
                <w:color w:val="FFFFFF" w:themeColor="background1"/>
              </w:rPr>
              <w:t xml:space="preserve">adical reforms </w:t>
            </w:r>
            <w:r>
              <w:rPr>
                <w:rFonts w:ascii="Cambria" w:hAnsi="Cambria"/>
                <w:color w:val="FFFFFF" w:themeColor="background1"/>
              </w:rPr>
              <w:t xml:space="preserve">should be introduced </w:t>
            </w:r>
            <w:r w:rsidR="003023D5" w:rsidRPr="003023D5">
              <w:rPr>
                <w:rFonts w:ascii="Cambria" w:hAnsi="Cambria"/>
                <w:color w:val="FFFFFF" w:themeColor="background1"/>
              </w:rPr>
              <w:t xml:space="preserve">to </w:t>
            </w:r>
            <w:r>
              <w:rPr>
                <w:rFonts w:ascii="Cambria" w:hAnsi="Cambria"/>
                <w:color w:val="FFFFFF" w:themeColor="background1"/>
              </w:rPr>
              <w:t xml:space="preserve">bring </w:t>
            </w:r>
            <w:r w:rsidR="003023D5" w:rsidRPr="003023D5">
              <w:rPr>
                <w:rFonts w:ascii="Cambria" w:hAnsi="Cambria"/>
                <w:color w:val="FFFFFF" w:themeColor="background1"/>
              </w:rPr>
              <w:t>the regime of exceptions in</w:t>
            </w:r>
            <w:r>
              <w:rPr>
                <w:rFonts w:ascii="Cambria" w:hAnsi="Cambria"/>
                <w:color w:val="FFFFFF" w:themeColor="background1"/>
              </w:rPr>
              <w:t>to line with international standards</w:t>
            </w:r>
            <w:r w:rsidR="00666A92">
              <w:rPr>
                <w:rFonts w:ascii="Cambria" w:hAnsi="Cambria"/>
                <w:color w:val="FFFFFF" w:themeColor="background1"/>
              </w:rPr>
              <w:t>. This should</w:t>
            </w:r>
            <w:r>
              <w:rPr>
                <w:rFonts w:ascii="Cambria" w:hAnsi="Cambria"/>
                <w:color w:val="FFFFFF" w:themeColor="background1"/>
              </w:rPr>
              <w:t xml:space="preserve"> </w:t>
            </w:r>
            <w:r w:rsidR="00666A92">
              <w:rPr>
                <w:rFonts w:ascii="Cambria" w:hAnsi="Cambria"/>
                <w:color w:val="FFFFFF" w:themeColor="background1"/>
              </w:rPr>
              <w:t>include</w:t>
            </w:r>
            <w:r w:rsidR="003023D5" w:rsidRPr="003023D5">
              <w:rPr>
                <w:rFonts w:ascii="Cambria" w:hAnsi="Cambria"/>
                <w:color w:val="FFFFFF" w:themeColor="background1"/>
              </w:rPr>
              <w:t xml:space="preserve"> limiting exceptions to </w:t>
            </w:r>
            <w:r w:rsidR="001A2BB9">
              <w:rPr>
                <w:rFonts w:ascii="Cambria" w:hAnsi="Cambria"/>
                <w:color w:val="FFFFFF" w:themeColor="background1"/>
              </w:rPr>
              <w:t xml:space="preserve">protect </w:t>
            </w:r>
            <w:r w:rsidR="003023D5" w:rsidRPr="003023D5">
              <w:rPr>
                <w:rFonts w:ascii="Cambria" w:hAnsi="Cambria"/>
                <w:color w:val="FFFFFF" w:themeColor="background1"/>
              </w:rPr>
              <w:t xml:space="preserve">those interests which are recognised </w:t>
            </w:r>
            <w:r w:rsidR="001A2BB9">
              <w:rPr>
                <w:rFonts w:ascii="Cambria" w:hAnsi="Cambria"/>
                <w:color w:val="FFFFFF" w:themeColor="background1"/>
              </w:rPr>
              <w:t xml:space="preserve">as legitimate </w:t>
            </w:r>
            <w:r w:rsidR="003023D5" w:rsidRPr="003023D5">
              <w:rPr>
                <w:rFonts w:ascii="Cambria" w:hAnsi="Cambria"/>
                <w:color w:val="FFFFFF" w:themeColor="background1"/>
              </w:rPr>
              <w:t xml:space="preserve">under international law, </w:t>
            </w:r>
            <w:r w:rsidR="001A2BB9">
              <w:rPr>
                <w:rFonts w:ascii="Cambria" w:hAnsi="Cambria"/>
                <w:color w:val="FFFFFF" w:themeColor="background1"/>
              </w:rPr>
              <w:t xml:space="preserve">providing for </w:t>
            </w:r>
            <w:r w:rsidR="003023D5" w:rsidRPr="003023D5">
              <w:rPr>
                <w:rFonts w:ascii="Cambria" w:hAnsi="Cambria"/>
                <w:color w:val="FFFFFF" w:themeColor="background1"/>
              </w:rPr>
              <w:t xml:space="preserve">a harm test </w:t>
            </w:r>
            <w:r w:rsidR="001A2BB9">
              <w:rPr>
                <w:rFonts w:ascii="Cambria" w:hAnsi="Cambria"/>
                <w:color w:val="FFFFFF" w:themeColor="background1"/>
              </w:rPr>
              <w:t xml:space="preserve">for </w:t>
            </w:r>
            <w:r w:rsidR="003023D5" w:rsidRPr="003023D5">
              <w:rPr>
                <w:rFonts w:ascii="Cambria" w:hAnsi="Cambria"/>
                <w:color w:val="FFFFFF" w:themeColor="background1"/>
              </w:rPr>
              <w:t>all exceptions</w:t>
            </w:r>
            <w:r w:rsidR="001A2BB9">
              <w:rPr>
                <w:rFonts w:ascii="Cambria" w:hAnsi="Cambria"/>
                <w:color w:val="FFFFFF" w:themeColor="background1"/>
              </w:rPr>
              <w:t>,</w:t>
            </w:r>
            <w:r w:rsidR="003023D5" w:rsidRPr="003023D5">
              <w:rPr>
                <w:rFonts w:ascii="Cambria" w:hAnsi="Cambria"/>
                <w:color w:val="FFFFFF" w:themeColor="background1"/>
              </w:rPr>
              <w:t xml:space="preserve"> putting in place a clear public interest override for all exceptions</w:t>
            </w:r>
            <w:r w:rsidR="001A2BB9">
              <w:rPr>
                <w:rFonts w:ascii="Cambria" w:hAnsi="Cambria"/>
                <w:color w:val="FFFFFF" w:themeColor="background1"/>
              </w:rPr>
              <w:t>, reviewing the provisions referred to in Schedule II of the Act and removing those that do not conform to these standards and transforming all exclusions into harm-tested exceptions</w:t>
            </w:r>
            <w:r w:rsidR="003023D5" w:rsidRPr="003023D5">
              <w:rPr>
                <w:rFonts w:ascii="Cambria" w:hAnsi="Cambria"/>
                <w:color w:val="FFFFFF" w:themeColor="background1"/>
              </w:rPr>
              <w:t>.</w:t>
            </w:r>
          </w:p>
          <w:p w:rsidR="001A2BB9" w:rsidRDefault="001A2BB9" w:rsidP="003023D5">
            <w:pPr>
              <w:pStyle w:val="ListParagraph"/>
              <w:numPr>
                <w:ilvl w:val="0"/>
                <w:numId w:val="5"/>
              </w:numPr>
              <w:ind w:left="567" w:right="176"/>
              <w:jc w:val="both"/>
              <w:rPr>
                <w:rFonts w:ascii="Cambria" w:hAnsi="Cambria"/>
                <w:color w:val="FFFFFF" w:themeColor="background1"/>
              </w:rPr>
            </w:pPr>
            <w:r>
              <w:rPr>
                <w:rFonts w:ascii="Cambria" w:hAnsi="Cambria"/>
                <w:color w:val="FFFFFF" w:themeColor="background1"/>
              </w:rPr>
              <w:t xml:space="preserve">Effective measures should be put in place to ensure that the orders of the Information Commissioner are enforceable. </w:t>
            </w:r>
          </w:p>
          <w:p w:rsidR="003023D5" w:rsidRPr="003023D5" w:rsidRDefault="001A2BB9" w:rsidP="003023D5">
            <w:pPr>
              <w:pStyle w:val="ListParagraph"/>
              <w:numPr>
                <w:ilvl w:val="0"/>
                <w:numId w:val="5"/>
              </w:numPr>
              <w:ind w:left="567" w:right="176"/>
              <w:jc w:val="both"/>
              <w:rPr>
                <w:rFonts w:ascii="Cambria" w:hAnsi="Cambria"/>
                <w:color w:val="FFFFFF" w:themeColor="background1"/>
              </w:rPr>
            </w:pPr>
            <w:r>
              <w:rPr>
                <w:rFonts w:ascii="Cambria" w:hAnsi="Cambria"/>
                <w:color w:val="FFFFFF" w:themeColor="background1"/>
              </w:rPr>
              <w:t xml:space="preserve">Consideration should be given to limiting review of the Commissioner’s orders to the standard of judicial review and, failing that, to modify the </w:t>
            </w:r>
            <w:r>
              <w:rPr>
                <w:rFonts w:ascii="Cambria" w:hAnsi="Cambria"/>
                <w:i/>
                <w:color w:val="FFFFFF" w:themeColor="background1"/>
              </w:rPr>
              <w:t>de novo</w:t>
            </w:r>
            <w:r>
              <w:rPr>
                <w:rFonts w:ascii="Cambria" w:hAnsi="Cambria"/>
                <w:color w:val="FFFFFF" w:themeColor="background1"/>
              </w:rPr>
              <w:t xml:space="preserve"> review process so that public authorities cannot rely on new exceptions on appeal. </w:t>
            </w:r>
          </w:p>
          <w:p w:rsidR="003023D5" w:rsidRPr="001A2BB9" w:rsidRDefault="003023D5" w:rsidP="001A2BB9">
            <w:pPr>
              <w:ind w:left="207" w:right="176"/>
              <w:jc w:val="both"/>
              <w:rPr>
                <w:rFonts w:ascii="Cambria" w:hAnsi="Cambria"/>
                <w:color w:val="FFFFFF"/>
              </w:rPr>
            </w:pPr>
          </w:p>
        </w:tc>
      </w:tr>
    </w:tbl>
    <w:p w:rsidR="003023D5" w:rsidRDefault="003023D5" w:rsidP="003023D5">
      <w:pPr>
        <w:jc w:val="both"/>
      </w:pPr>
    </w:p>
    <w:p w:rsidR="008F1BE9" w:rsidRPr="00F05617" w:rsidRDefault="008F1BE9" w:rsidP="008F1BE9">
      <w:pPr>
        <w:jc w:val="both"/>
        <w:rPr>
          <w:rFonts w:ascii="Cambria" w:hAnsi="Cambria"/>
        </w:rPr>
      </w:pPr>
    </w:p>
    <w:sectPr w:rsidR="008F1BE9" w:rsidRPr="00F05617" w:rsidSect="007A21F9">
      <w:headerReference w:type="default" r:id="rId11"/>
      <w:footerReference w:type="default" r:id="rId12"/>
      <w:pgSz w:w="12240" w:h="15840"/>
      <w:pgMar w:top="1440" w:right="1440" w:bottom="158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B1E" w:rsidRDefault="002A5B1E" w:rsidP="00D23323">
      <w:r>
        <w:separator/>
      </w:r>
    </w:p>
  </w:endnote>
  <w:endnote w:type="continuationSeparator" w:id="0">
    <w:p w:rsidR="002A5B1E" w:rsidRDefault="002A5B1E" w:rsidP="00D2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auto"/>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4D"/>
    <w:family w:val="roman"/>
    <w:notTrueType/>
    <w:pitch w:val="variable"/>
    <w:sig w:usb0="00000003" w:usb1="00000000" w:usb2="00000000" w:usb3="00000000" w:csb0="00000001" w:csb1="00000000"/>
  </w:font>
  <w:font w:name="ヒラギノ角ゴ Pro W3">
    <w:panose1 w:val="020B0300000000000000"/>
    <w:charset w:val="4E"/>
    <w:family w:val="auto"/>
    <w:pitch w:val="variable"/>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4D"/>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BB9" w:rsidRDefault="001A2BB9" w:rsidP="007A21F9">
    <w:pPr>
      <w:pStyle w:val="Footer"/>
      <w:tabs>
        <w:tab w:val="center" w:pos="3969"/>
      </w:tabs>
      <w:jc w:val="center"/>
      <w:rPr>
        <w:i/>
        <w:sz w:val="22"/>
      </w:rPr>
    </w:pPr>
  </w:p>
  <w:p w:rsidR="001A2BB9" w:rsidRDefault="001A2BB9" w:rsidP="007A21F9">
    <w:pPr>
      <w:pStyle w:val="Footer"/>
      <w:tabs>
        <w:tab w:val="center" w:pos="3969"/>
      </w:tabs>
      <w:jc w:val="center"/>
      <w:rPr>
        <w:i/>
        <w:sz w:val="22"/>
      </w:rPr>
    </w:pPr>
    <w:r>
      <w:rPr>
        <w:i/>
        <w:sz w:val="22"/>
      </w:rPr>
      <w:t>The Centre for Law and Democracy is a non-profit human rights organisation working internationally to provide legal expertise on foundational rights for democracy</w:t>
    </w:r>
  </w:p>
  <w:p w:rsidR="001A2BB9" w:rsidRDefault="001A2BB9" w:rsidP="007A21F9">
    <w:pPr>
      <w:pStyle w:val="Footer"/>
      <w:rPr>
        <w:rStyle w:val="PageNumber"/>
      </w:rPr>
    </w:pPr>
  </w:p>
  <w:p w:rsidR="001A2BB9" w:rsidRDefault="001A2BB9" w:rsidP="007A21F9">
    <w:pPr>
      <w:pStyle w:val="Footer"/>
      <w:jc w:val="center"/>
    </w:pPr>
    <w:r>
      <w:rPr>
        <w:rStyle w:val="PageNumber"/>
      </w:rPr>
      <w:t xml:space="preserve">- </w:t>
    </w:r>
    <w:r w:rsidR="00B30541">
      <w:rPr>
        <w:rStyle w:val="PageNumber"/>
      </w:rPr>
      <w:fldChar w:fldCharType="begin"/>
    </w:r>
    <w:r>
      <w:rPr>
        <w:rStyle w:val="PageNumber"/>
      </w:rPr>
      <w:instrText xml:space="preserve">PAGE  </w:instrText>
    </w:r>
    <w:r w:rsidR="00B30541">
      <w:rPr>
        <w:rStyle w:val="PageNumber"/>
      </w:rPr>
      <w:fldChar w:fldCharType="separate"/>
    </w:r>
    <w:r w:rsidR="000B7280">
      <w:rPr>
        <w:rStyle w:val="PageNumber"/>
        <w:noProof/>
      </w:rPr>
      <w:t>8</w:t>
    </w:r>
    <w:r w:rsidR="00B30541">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B1E" w:rsidRDefault="002A5B1E" w:rsidP="00D23323">
      <w:r>
        <w:separator/>
      </w:r>
    </w:p>
  </w:footnote>
  <w:footnote w:type="continuationSeparator" w:id="0">
    <w:p w:rsidR="002A5B1E" w:rsidRDefault="002A5B1E" w:rsidP="00D23323">
      <w:r>
        <w:continuationSeparator/>
      </w:r>
    </w:p>
  </w:footnote>
  <w:footnote w:id="1">
    <w:p w:rsidR="001A2BB9" w:rsidRPr="00F05617" w:rsidRDefault="001A2BB9" w:rsidP="00FC390D">
      <w:pPr>
        <w:pStyle w:val="FootnoteText"/>
        <w:jc w:val="both"/>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hAnsi="Cambria" w:cstheme="majorEastAsia"/>
          <w:sz w:val="20"/>
          <w:szCs w:val="20"/>
        </w:rPr>
        <w:t xml:space="preserve"> This work is licensed under the Creative Commons Attribution-NonCommercial-ShareAlike 3.0 Unported Licence. You are free to copy, distribute and display this work and to make derivative works, provided you give credit to Centre for Law and Democracy, do not use this work for commercial purposes and distribute any works derived from this publication under a licence identical to this one. To view a copy of this licence, visit: </w:t>
      </w:r>
      <w:hyperlink r:id="rId1" w:history="1">
        <w:r w:rsidRPr="00F05617">
          <w:rPr>
            <w:rFonts w:ascii="Cambria" w:hAnsi="Cambria" w:cstheme="majorEastAsia"/>
            <w:sz w:val="20"/>
            <w:szCs w:val="20"/>
          </w:rPr>
          <w:t>http://creativecommons.org/licenses/by-nc-sa/3.0/</w:t>
        </w:r>
      </w:hyperlink>
      <w:r w:rsidRPr="00F05617">
        <w:rPr>
          <w:rFonts w:ascii="Cambria" w:hAnsi="Cambria" w:cstheme="majorEastAsia"/>
          <w:sz w:val="20"/>
          <w:szCs w:val="20"/>
        </w:rPr>
        <w:t>.</w:t>
      </w:r>
      <w:r>
        <w:rPr>
          <w:rFonts w:ascii="Cambria" w:hAnsi="Cambria" w:cstheme="majorEastAsia"/>
          <w:sz w:val="20"/>
          <w:szCs w:val="20"/>
        </w:rPr>
        <w:t xml:space="preserve"> </w:t>
      </w:r>
    </w:p>
  </w:footnote>
  <w:footnote w:id="2">
    <w:p w:rsidR="001A2BB9" w:rsidRPr="003E7185" w:rsidRDefault="001A2BB9" w:rsidP="003E7185">
      <w:pPr>
        <w:widowControl w:val="0"/>
        <w:autoSpaceDE w:val="0"/>
        <w:autoSpaceDN w:val="0"/>
        <w:adjustRightInd w:val="0"/>
        <w:rPr>
          <w:sz w:val="28"/>
          <w:szCs w:val="28"/>
          <w:lang w:val="en-US" w:eastAsia="en-US"/>
        </w:rPr>
      </w:pPr>
      <w:r w:rsidRPr="00F05617">
        <w:rPr>
          <w:rStyle w:val="FootnoteReference"/>
          <w:rFonts w:ascii="Cambria" w:hAnsi="Cambria" w:cstheme="majorEastAsia"/>
          <w:sz w:val="20"/>
          <w:szCs w:val="20"/>
        </w:rPr>
        <w:footnoteRef/>
      </w:r>
      <w:r>
        <w:rPr>
          <w:rFonts w:ascii="Cambria" w:hAnsi="Cambria" w:cstheme="majorEastAsia"/>
          <w:sz w:val="20"/>
          <w:szCs w:val="20"/>
        </w:rPr>
        <w:t xml:space="preserve"> </w:t>
      </w:r>
      <w:r w:rsidRPr="00F05617">
        <w:rPr>
          <w:rFonts w:ascii="Cambria" w:hAnsi="Cambria" w:cstheme="majorEastAsia"/>
          <w:sz w:val="20"/>
          <w:szCs w:val="20"/>
        </w:rPr>
        <w:t xml:space="preserve">See, for example, </w:t>
      </w:r>
      <w:r>
        <w:rPr>
          <w:rFonts w:ascii="Cambria" w:hAnsi="Cambria" w:cstheme="majorEastAsia"/>
          <w:sz w:val="20"/>
          <w:szCs w:val="20"/>
        </w:rPr>
        <w:t xml:space="preserve">the 2012 </w:t>
      </w:r>
      <w:r w:rsidRPr="003E7185">
        <w:rPr>
          <w:rFonts w:ascii="Cambria" w:hAnsi="Cambria" w:cstheme="majorEastAsia"/>
          <w:i/>
          <w:sz w:val="20"/>
          <w:szCs w:val="20"/>
        </w:rPr>
        <w:t>Submission to the 16th Session of the Universal Periodic Review on the State of Freedom of Expression in Canada</w:t>
      </w:r>
      <w:r w:rsidRPr="00F05617">
        <w:rPr>
          <w:rFonts w:ascii="Cambria" w:hAnsi="Cambria" w:cstheme="majorEastAsia"/>
          <w:sz w:val="20"/>
          <w:szCs w:val="20"/>
        </w:rPr>
        <w:t xml:space="preserve"> by CLD, Lawyers’ Rights Watch Canada, Canadian Journalists for Free Expression, the British Columbia Freedom of Information and Priva</w:t>
      </w:r>
      <w:r>
        <w:rPr>
          <w:rFonts w:ascii="Cambria" w:hAnsi="Cambria" w:cstheme="majorEastAsia"/>
          <w:sz w:val="20"/>
          <w:szCs w:val="20"/>
        </w:rPr>
        <w:t>cy Association and PEN Canada. A</w:t>
      </w:r>
      <w:r w:rsidRPr="00F05617">
        <w:rPr>
          <w:rFonts w:ascii="Cambria" w:hAnsi="Cambria" w:cstheme="majorEastAsia"/>
          <w:sz w:val="20"/>
          <w:szCs w:val="20"/>
        </w:rPr>
        <w:t xml:space="preserve">vailable at: </w:t>
      </w:r>
      <w:hyperlink r:id="rId2" w:history="1">
        <w:r w:rsidRPr="00F05617">
          <w:rPr>
            <w:rStyle w:val="Hyperlink"/>
            <w:rFonts w:ascii="Cambria" w:hAnsi="Cambria" w:cstheme="majorEastAsia"/>
            <w:sz w:val="20"/>
            <w:szCs w:val="20"/>
          </w:rPr>
          <w:t>http://www.law-democracy.org/live/canada-un-universal-periodic-review-submission/</w:t>
        </w:r>
      </w:hyperlink>
      <w:r>
        <w:rPr>
          <w:rFonts w:ascii="Cambria" w:hAnsi="Cambria" w:cstheme="majorEastAsia"/>
          <w:sz w:val="20"/>
          <w:szCs w:val="20"/>
        </w:rPr>
        <w:t xml:space="preserve">. See also </w:t>
      </w:r>
      <w:r w:rsidRPr="00F05617">
        <w:rPr>
          <w:rFonts w:ascii="Cambria" w:hAnsi="Cambria" w:cstheme="majorEastAsia"/>
          <w:sz w:val="20"/>
          <w:szCs w:val="20"/>
        </w:rPr>
        <w:t xml:space="preserve">the </w:t>
      </w:r>
      <w:r>
        <w:rPr>
          <w:rFonts w:ascii="Cambria" w:hAnsi="Cambria" w:cstheme="majorEastAsia"/>
          <w:sz w:val="20"/>
          <w:szCs w:val="20"/>
        </w:rPr>
        <w:t xml:space="preserve">submission to the same review by </w:t>
      </w:r>
      <w:r w:rsidRPr="00F05617">
        <w:rPr>
          <w:rFonts w:ascii="Cambria" w:hAnsi="Cambria" w:cstheme="majorEastAsia"/>
          <w:sz w:val="20"/>
          <w:szCs w:val="20"/>
        </w:rPr>
        <w:t xml:space="preserve">Association for Progressive Communications, </w:t>
      </w:r>
      <w:proofErr w:type="spellStart"/>
      <w:r w:rsidRPr="00F05617">
        <w:rPr>
          <w:rFonts w:ascii="Cambria" w:hAnsi="Cambria" w:cstheme="majorEastAsia"/>
          <w:sz w:val="20"/>
          <w:szCs w:val="20"/>
        </w:rPr>
        <w:t>OpenMedia</w:t>
      </w:r>
      <w:proofErr w:type="spellEnd"/>
      <w:r w:rsidRPr="00F05617">
        <w:rPr>
          <w:rFonts w:ascii="Cambria" w:hAnsi="Cambria" w:cstheme="majorEastAsia"/>
          <w:sz w:val="20"/>
          <w:szCs w:val="20"/>
        </w:rPr>
        <w:t>, the Canadian Internet Policy and Public Int</w:t>
      </w:r>
      <w:r>
        <w:rPr>
          <w:rFonts w:ascii="Cambria" w:hAnsi="Cambria" w:cstheme="majorEastAsia"/>
          <w:sz w:val="20"/>
          <w:szCs w:val="20"/>
        </w:rPr>
        <w:t>erest Clinic and Web Networks. A</w:t>
      </w:r>
      <w:r w:rsidRPr="00F05617">
        <w:rPr>
          <w:rFonts w:ascii="Cambria" w:hAnsi="Cambria" w:cstheme="majorEastAsia"/>
          <w:sz w:val="20"/>
          <w:szCs w:val="20"/>
        </w:rPr>
        <w:t xml:space="preserve">vailable at: </w:t>
      </w:r>
      <w:hyperlink r:id="rId3" w:history="1">
        <w:r w:rsidRPr="00F05617">
          <w:rPr>
            <w:rStyle w:val="Hyperlink"/>
            <w:rFonts w:ascii="Cambria" w:hAnsi="Cambria" w:cstheme="majorEastAsia"/>
            <w:sz w:val="20"/>
            <w:szCs w:val="20"/>
          </w:rPr>
          <w:t>www.apc.org/en/system/files/UPR_Canada_Coalition_InternetRights.pdf</w:t>
        </w:r>
      </w:hyperlink>
      <w:r w:rsidRPr="00F05617">
        <w:rPr>
          <w:rFonts w:ascii="Cambria" w:hAnsi="Cambria" w:cstheme="majorEastAsia"/>
          <w:sz w:val="20"/>
          <w:szCs w:val="20"/>
        </w:rPr>
        <w:t>.</w:t>
      </w:r>
    </w:p>
  </w:footnote>
  <w:footnote w:id="3">
    <w:p w:rsidR="001A2BB9" w:rsidRPr="00F05617" w:rsidRDefault="001A2BB9" w:rsidP="00FC390D">
      <w:pPr>
        <w:pStyle w:val="FootnoteText"/>
        <w:jc w:val="both"/>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hAnsi="Cambria" w:cstheme="majorEastAsia"/>
          <w:sz w:val="20"/>
          <w:szCs w:val="20"/>
        </w:rPr>
        <w:t xml:space="preserve"> January 2013. Available at: </w:t>
      </w:r>
    </w:p>
    <w:p w:rsidR="001A2BB9" w:rsidRPr="00F05617" w:rsidRDefault="002A5B1E" w:rsidP="00FC390D">
      <w:pPr>
        <w:pStyle w:val="FootnoteText"/>
        <w:jc w:val="both"/>
        <w:rPr>
          <w:rFonts w:ascii="Cambria" w:hAnsi="Cambria" w:cstheme="majorEastAsia"/>
          <w:sz w:val="20"/>
          <w:szCs w:val="20"/>
        </w:rPr>
      </w:pPr>
      <w:hyperlink r:id="rId4" w:history="1">
        <w:r w:rsidR="001A2BB9" w:rsidRPr="00F05617">
          <w:rPr>
            <w:rStyle w:val="Hyperlink"/>
            <w:rFonts w:ascii="Cambria" w:hAnsi="Cambria" w:cstheme="majorEastAsia"/>
            <w:sz w:val="20"/>
            <w:szCs w:val="20"/>
          </w:rPr>
          <w:t>http://www.law-democracy.org/live/wp-content/uploads/2012/08/Canada.RTI_.Jan13.pdf</w:t>
        </w:r>
      </w:hyperlink>
      <w:r w:rsidR="001A2BB9" w:rsidRPr="00F05617">
        <w:rPr>
          <w:rFonts w:ascii="Cambria" w:hAnsi="Cambria" w:cstheme="majorEastAsia"/>
          <w:sz w:val="20"/>
          <w:szCs w:val="20"/>
        </w:rPr>
        <w:t>.</w:t>
      </w:r>
    </w:p>
    <w:p w:rsidR="001A2BB9" w:rsidRPr="00F05617" w:rsidRDefault="001A2BB9" w:rsidP="004657B1">
      <w:pPr>
        <w:pStyle w:val="FootnoteText"/>
        <w:jc w:val="both"/>
        <w:rPr>
          <w:rFonts w:ascii="Cambria" w:hAnsi="Cambria" w:cstheme="majorEastAsia"/>
          <w:sz w:val="20"/>
          <w:szCs w:val="20"/>
        </w:rPr>
      </w:pPr>
    </w:p>
  </w:footnote>
  <w:footnote w:id="4">
    <w:p w:rsidR="001A2BB9" w:rsidRPr="00F05617" w:rsidRDefault="001A2BB9" w:rsidP="004657B1">
      <w:pPr>
        <w:jc w:val="both"/>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eastAsia="Cambria" w:hAnsi="Cambria" w:cstheme="majorEastAsia"/>
          <w:sz w:val="20"/>
          <w:szCs w:val="20"/>
        </w:rPr>
        <w:t xml:space="preserve"> Canadian Newspaper Association, </w:t>
      </w:r>
      <w:r w:rsidRPr="00F05617">
        <w:rPr>
          <w:rFonts w:ascii="Cambria" w:eastAsia="Cambria" w:hAnsi="Cambria" w:cstheme="majorEastAsia"/>
          <w:i/>
          <w:sz w:val="20"/>
          <w:szCs w:val="20"/>
        </w:rPr>
        <w:t xml:space="preserve">National Freedom of Information Audit 2017 </w:t>
      </w:r>
      <w:r w:rsidRPr="00F05617">
        <w:rPr>
          <w:rFonts w:ascii="Cambria" w:eastAsia="Cambria" w:hAnsi="Cambria" w:cstheme="majorEastAsia"/>
          <w:sz w:val="20"/>
          <w:szCs w:val="20"/>
        </w:rPr>
        <w:t xml:space="preserve">(2017), pp. 76-77. 55 requests were made at different federal public </w:t>
      </w:r>
      <w:r>
        <w:rPr>
          <w:rFonts w:ascii="Cambria" w:eastAsia="Cambria" w:hAnsi="Cambria" w:cstheme="majorEastAsia"/>
          <w:sz w:val="20"/>
          <w:szCs w:val="20"/>
        </w:rPr>
        <w:t>authorities</w:t>
      </w:r>
      <w:r w:rsidRPr="00F05617">
        <w:rPr>
          <w:rFonts w:ascii="Cambria" w:eastAsia="Cambria" w:hAnsi="Cambria" w:cstheme="majorEastAsia"/>
          <w:sz w:val="20"/>
          <w:szCs w:val="20"/>
        </w:rPr>
        <w:t xml:space="preserve">. Available at: </w:t>
      </w:r>
      <w:hyperlink r:id="rId5" w:history="1">
        <w:r w:rsidRPr="00F05617">
          <w:rPr>
            <w:rStyle w:val="Hyperlink"/>
            <w:rFonts w:ascii="Cambria" w:eastAsia="Cambria" w:hAnsi="Cambria" w:cstheme="majorEastAsia"/>
            <w:sz w:val="20"/>
            <w:szCs w:val="20"/>
          </w:rPr>
          <w:t>https://nmc-mic.ca/public-affairs/freedom-of-information/2017-freedom-information-audit/</w:t>
        </w:r>
      </w:hyperlink>
      <w:r w:rsidRPr="00F05617">
        <w:rPr>
          <w:rFonts w:ascii="Cambria" w:eastAsia="Cambria" w:hAnsi="Cambria" w:cstheme="majorEastAsia"/>
          <w:sz w:val="20"/>
          <w:szCs w:val="20"/>
        </w:rPr>
        <w:t>.</w:t>
      </w:r>
    </w:p>
  </w:footnote>
  <w:footnote w:id="5">
    <w:p w:rsidR="001A2BB9" w:rsidRPr="00F05617" w:rsidRDefault="001A2BB9" w:rsidP="004657B1">
      <w:pPr>
        <w:jc w:val="both"/>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hAnsi="Cambria" w:cstheme="majorEastAsia"/>
          <w:sz w:val="20"/>
          <w:szCs w:val="20"/>
        </w:rPr>
        <w:t xml:space="preserve"> See the Liberal Party’s campaign promises in this area: </w:t>
      </w:r>
      <w:r w:rsidRPr="00F05617">
        <w:rPr>
          <w:rFonts w:ascii="Cambria" w:hAnsi="Cambria" w:cstheme="majorEastAsia"/>
          <w:i/>
          <w:sz w:val="20"/>
          <w:szCs w:val="20"/>
        </w:rPr>
        <w:t>Real Change: A Fair and Open Government</w:t>
      </w:r>
      <w:r>
        <w:rPr>
          <w:rFonts w:ascii="Cambria" w:hAnsi="Cambria" w:cstheme="majorEastAsia"/>
          <w:sz w:val="20"/>
          <w:szCs w:val="20"/>
        </w:rPr>
        <w:t>, p. 4</w:t>
      </w:r>
      <w:r w:rsidRPr="00F05617">
        <w:rPr>
          <w:rFonts w:ascii="Cambria" w:hAnsi="Cambria" w:cstheme="majorEastAsia"/>
          <w:sz w:val="20"/>
          <w:szCs w:val="20"/>
        </w:rPr>
        <w:t xml:space="preserve">. Available at: </w:t>
      </w:r>
      <w:hyperlink r:id="rId6" w:history="1">
        <w:r w:rsidRPr="00F05617">
          <w:rPr>
            <w:rStyle w:val="Hyperlink"/>
            <w:rFonts w:ascii="Cambria" w:hAnsi="Cambria" w:cstheme="majorEastAsia"/>
            <w:sz w:val="20"/>
            <w:szCs w:val="20"/>
          </w:rPr>
          <w:t>https://www.liberal.ca/wp-content/uploads/2015/08/a-fair-and-open-government.pdf</w:t>
        </w:r>
      </w:hyperlink>
      <w:r w:rsidRPr="00F05617">
        <w:rPr>
          <w:rFonts w:ascii="Cambria" w:hAnsi="Cambria" w:cstheme="majorEastAsia"/>
          <w:sz w:val="20"/>
          <w:szCs w:val="20"/>
        </w:rPr>
        <w:t xml:space="preserve">. </w:t>
      </w:r>
    </w:p>
  </w:footnote>
  <w:footnote w:id="6">
    <w:p w:rsidR="001A2BB9" w:rsidRPr="00F05617" w:rsidRDefault="001A2BB9" w:rsidP="004657B1">
      <w:pPr>
        <w:pStyle w:val="p1"/>
        <w:jc w:val="both"/>
        <w:rPr>
          <w:rFonts w:ascii="Cambria" w:hAnsi="Cambria" w:cstheme="majorEastAsia"/>
          <w:sz w:val="20"/>
          <w:szCs w:val="20"/>
          <w:lang w:val="en-GB"/>
        </w:rPr>
      </w:pPr>
      <w:r w:rsidRPr="00F05617">
        <w:rPr>
          <w:rStyle w:val="FootnoteReference"/>
          <w:rFonts w:ascii="Cambria" w:hAnsi="Cambria" w:cstheme="majorEastAsia"/>
          <w:sz w:val="20"/>
          <w:szCs w:val="20"/>
          <w:lang w:val="en-GB"/>
        </w:rPr>
        <w:footnoteRef/>
      </w:r>
      <w:r>
        <w:rPr>
          <w:rFonts w:ascii="Cambria" w:hAnsi="Cambria" w:cstheme="majorEastAsia"/>
          <w:sz w:val="20"/>
          <w:szCs w:val="20"/>
          <w:lang w:val="en-GB"/>
        </w:rPr>
        <w:t xml:space="preserve"> This was reflected, for example, in Commitment 1 of Canada’s </w:t>
      </w:r>
      <w:r w:rsidRPr="002A07B3">
        <w:rPr>
          <w:rFonts w:ascii="Cambria" w:hAnsi="Cambria" w:cstheme="majorEastAsia"/>
          <w:sz w:val="20"/>
          <w:szCs w:val="20"/>
          <w:lang w:val="en-GB"/>
        </w:rPr>
        <w:t xml:space="preserve">Third Biennial Plan to the Open Government Partnership (2016-18). </w:t>
      </w:r>
      <w:r>
        <w:rPr>
          <w:rFonts w:ascii="Cambria" w:hAnsi="Cambria" w:cstheme="majorEastAsia"/>
          <w:sz w:val="20"/>
          <w:szCs w:val="20"/>
          <w:lang w:val="en-GB"/>
        </w:rPr>
        <w:t xml:space="preserve"> </w:t>
      </w:r>
      <w:r w:rsidRPr="00F05617">
        <w:rPr>
          <w:rFonts w:ascii="Cambria" w:hAnsi="Cambria" w:cstheme="majorEastAsia"/>
          <w:sz w:val="20"/>
          <w:szCs w:val="20"/>
          <w:lang w:val="en-GB"/>
        </w:rPr>
        <w:t xml:space="preserve">Available at: </w:t>
      </w:r>
      <w:r w:rsidRPr="003B7B6B">
        <w:rPr>
          <w:rFonts w:ascii="Cambria" w:hAnsi="Cambria"/>
          <w:sz w:val="20"/>
        </w:rPr>
        <w:t>https://open.canada.ca/en/content/third-biennial-plan-open-government-partnership#toc5-1-1</w:t>
      </w:r>
      <w:r w:rsidRPr="00F05617">
        <w:rPr>
          <w:rFonts w:ascii="Cambria" w:hAnsi="Cambria" w:cstheme="majorEastAsia"/>
          <w:sz w:val="20"/>
          <w:szCs w:val="20"/>
          <w:lang w:val="en-GB"/>
        </w:rPr>
        <w:t>.</w:t>
      </w:r>
      <w:r>
        <w:rPr>
          <w:rFonts w:ascii="Cambria" w:hAnsi="Cambria" w:cstheme="majorEastAsia"/>
          <w:sz w:val="20"/>
          <w:szCs w:val="20"/>
          <w:lang w:val="en-GB"/>
        </w:rPr>
        <w:t xml:space="preserve"> </w:t>
      </w:r>
    </w:p>
  </w:footnote>
  <w:footnote w:id="7">
    <w:p w:rsidR="001A2BB9" w:rsidRPr="00F05617" w:rsidRDefault="001A2BB9" w:rsidP="004657B1">
      <w:pPr>
        <w:pStyle w:val="FootnoteText"/>
        <w:jc w:val="both"/>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hAnsi="Cambria" w:cstheme="majorEastAsia"/>
          <w:sz w:val="20"/>
          <w:szCs w:val="20"/>
        </w:rPr>
        <w:t xml:space="preserve"> </w:t>
      </w:r>
      <w:r>
        <w:rPr>
          <w:rFonts w:ascii="Cambria" w:hAnsi="Cambria" w:cstheme="majorEastAsia"/>
          <w:sz w:val="20"/>
          <w:szCs w:val="20"/>
        </w:rPr>
        <w:t xml:space="preserve">See </w:t>
      </w:r>
      <w:r w:rsidRPr="00B464A4">
        <w:rPr>
          <w:rFonts w:ascii="Cambria" w:hAnsi="Cambria" w:cstheme="majorEastAsia"/>
          <w:i/>
          <w:sz w:val="20"/>
          <w:szCs w:val="20"/>
        </w:rPr>
        <w:t>Canada: Recommendations for Reforming Canada’s Access to Information Act</w:t>
      </w:r>
      <w:r>
        <w:rPr>
          <w:rFonts w:ascii="Cambria" w:hAnsi="Cambria" w:cstheme="majorEastAsia"/>
          <w:sz w:val="20"/>
          <w:szCs w:val="20"/>
        </w:rPr>
        <w:t>,</w:t>
      </w:r>
      <w:r w:rsidRPr="00F05617">
        <w:rPr>
          <w:rFonts w:ascii="Cambria" w:hAnsi="Cambria" w:cstheme="majorEastAsia"/>
          <w:sz w:val="20"/>
          <w:szCs w:val="20"/>
        </w:rPr>
        <w:t xml:space="preserve"> </w:t>
      </w:r>
      <w:r>
        <w:rPr>
          <w:rFonts w:ascii="Cambria" w:hAnsi="Cambria" w:cstheme="majorEastAsia"/>
          <w:sz w:val="20"/>
          <w:szCs w:val="20"/>
        </w:rPr>
        <w:t>a</w:t>
      </w:r>
      <w:r w:rsidRPr="00F05617">
        <w:rPr>
          <w:rFonts w:ascii="Cambria" w:hAnsi="Cambria" w:cstheme="majorEastAsia"/>
          <w:sz w:val="20"/>
          <w:szCs w:val="20"/>
        </w:rPr>
        <w:t xml:space="preserve"> submission </w:t>
      </w:r>
      <w:r>
        <w:rPr>
          <w:rFonts w:ascii="Cambria" w:hAnsi="Cambria" w:cstheme="majorEastAsia"/>
          <w:sz w:val="20"/>
          <w:szCs w:val="20"/>
        </w:rPr>
        <w:t xml:space="preserve">prepared </w:t>
      </w:r>
      <w:r w:rsidRPr="00F05617">
        <w:rPr>
          <w:rFonts w:ascii="Cambria" w:hAnsi="Cambria" w:cstheme="majorEastAsia"/>
          <w:sz w:val="20"/>
          <w:szCs w:val="20"/>
        </w:rPr>
        <w:t xml:space="preserve">jointly with </w:t>
      </w:r>
      <w:r w:rsidRPr="00F05617">
        <w:rPr>
          <w:rFonts w:ascii="Cambria" w:eastAsia="Cambria" w:hAnsi="Cambria" w:cstheme="majorEastAsia"/>
          <w:sz w:val="20"/>
          <w:szCs w:val="20"/>
        </w:rPr>
        <w:t>Lawyers’ Rights Watch Canada and the British Columbia Freedom of Information and Privacy Association</w:t>
      </w:r>
      <w:r>
        <w:rPr>
          <w:rFonts w:ascii="Cambria" w:hAnsi="Cambria" w:cstheme="majorEastAsia"/>
          <w:sz w:val="20"/>
          <w:szCs w:val="20"/>
        </w:rPr>
        <w:t xml:space="preserve"> in June 2016 in response to a call for c</w:t>
      </w:r>
      <w:r w:rsidRPr="00F05617">
        <w:rPr>
          <w:rFonts w:ascii="Cambria" w:hAnsi="Cambria" w:cstheme="majorEastAsia"/>
          <w:sz w:val="20"/>
          <w:szCs w:val="20"/>
        </w:rPr>
        <w:t>omment</w:t>
      </w:r>
      <w:r>
        <w:rPr>
          <w:rFonts w:ascii="Cambria" w:hAnsi="Cambria" w:cstheme="majorEastAsia"/>
          <w:sz w:val="20"/>
          <w:szCs w:val="20"/>
        </w:rPr>
        <w:t>s</w:t>
      </w:r>
      <w:r w:rsidRPr="00F05617">
        <w:rPr>
          <w:rFonts w:ascii="Cambria" w:hAnsi="Cambria" w:cstheme="majorEastAsia"/>
          <w:sz w:val="20"/>
          <w:szCs w:val="20"/>
        </w:rPr>
        <w:t xml:space="preserve"> on Government proposals to revitalise access to information put out by the Treas</w:t>
      </w:r>
      <w:r>
        <w:rPr>
          <w:rFonts w:ascii="Cambria" w:hAnsi="Cambria" w:cstheme="majorEastAsia"/>
          <w:sz w:val="20"/>
          <w:szCs w:val="20"/>
        </w:rPr>
        <w:t>ury Board of Canada Secretariat</w:t>
      </w:r>
      <w:r w:rsidRPr="00F05617">
        <w:rPr>
          <w:rFonts w:ascii="Cambria" w:eastAsia="Cambria" w:hAnsi="Cambria" w:cstheme="majorEastAsia"/>
          <w:sz w:val="20"/>
          <w:szCs w:val="20"/>
        </w:rPr>
        <w:t xml:space="preserve">. Available at: </w:t>
      </w:r>
      <w:hyperlink r:id="rId7" w:history="1">
        <w:r w:rsidRPr="00F05617">
          <w:rPr>
            <w:rStyle w:val="Hyperlink"/>
            <w:rFonts w:ascii="Cambria" w:eastAsia="Cambria" w:hAnsi="Cambria" w:cstheme="majorEastAsia"/>
            <w:sz w:val="20"/>
            <w:szCs w:val="20"/>
          </w:rPr>
          <w:t>http://www.law-democracy.org/live/wp-content/uploads/2016/07/Canada.RTI_.Jun16.pdf</w:t>
        </w:r>
      </w:hyperlink>
      <w:r w:rsidRPr="00F05617">
        <w:rPr>
          <w:rFonts w:ascii="Cambria" w:eastAsia="Cambria" w:hAnsi="Cambria" w:cstheme="majorEastAsia"/>
          <w:sz w:val="20"/>
          <w:szCs w:val="20"/>
        </w:rPr>
        <w:t xml:space="preserve">. </w:t>
      </w:r>
    </w:p>
  </w:footnote>
  <w:footnote w:id="8">
    <w:p w:rsidR="001A2BB9" w:rsidRPr="00F05617" w:rsidRDefault="001A2BB9" w:rsidP="003F0D26">
      <w:pPr>
        <w:pStyle w:val="FootnoteText"/>
        <w:jc w:val="both"/>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hAnsi="Cambria" w:cstheme="majorEastAsia"/>
          <w:sz w:val="20"/>
          <w:szCs w:val="20"/>
        </w:rPr>
        <w:t xml:space="preserve"> </w:t>
      </w:r>
      <w:r>
        <w:rPr>
          <w:rFonts w:ascii="Cambria" w:hAnsi="Cambria" w:cstheme="majorEastAsia"/>
          <w:sz w:val="20"/>
          <w:szCs w:val="20"/>
        </w:rPr>
        <w:t>A</w:t>
      </w:r>
      <w:r w:rsidRPr="00F05617">
        <w:rPr>
          <w:rFonts w:ascii="Cambria" w:hAnsi="Cambria" w:cstheme="majorEastAsia"/>
          <w:sz w:val="20"/>
          <w:szCs w:val="20"/>
        </w:rPr>
        <w:t xml:space="preserve">vailable at: </w:t>
      </w:r>
      <w:hyperlink r:id="rId8" w:history="1">
        <w:r w:rsidRPr="00F05617">
          <w:rPr>
            <w:rStyle w:val="Hyperlink"/>
            <w:rFonts w:ascii="Cambria" w:hAnsi="Cambria" w:cstheme="majorEastAsia"/>
            <w:sz w:val="20"/>
            <w:szCs w:val="20"/>
          </w:rPr>
          <w:t>https://www.law-democracy.org/live/wp-content/uploads/2017/04/17.04.04.ATIA-delay.let1_.pdf</w:t>
        </w:r>
      </w:hyperlink>
      <w:r w:rsidRPr="00F05617">
        <w:rPr>
          <w:rFonts w:ascii="Cambria" w:hAnsi="Cambria" w:cstheme="majorEastAsia"/>
          <w:sz w:val="20"/>
          <w:szCs w:val="20"/>
        </w:rPr>
        <w:t xml:space="preserve">. </w:t>
      </w:r>
    </w:p>
  </w:footnote>
  <w:footnote w:id="9">
    <w:p w:rsidR="001A2BB9" w:rsidRPr="00005CD2" w:rsidRDefault="001A2BB9">
      <w:pPr>
        <w:pStyle w:val="FootnoteText"/>
        <w:rPr>
          <w:rFonts w:ascii="Cambria" w:hAnsi="Cambria"/>
          <w:sz w:val="20"/>
        </w:rPr>
      </w:pPr>
      <w:r w:rsidRPr="00005CD2">
        <w:rPr>
          <w:rStyle w:val="FootnoteReference"/>
          <w:rFonts w:ascii="Cambria" w:hAnsi="Cambria"/>
          <w:sz w:val="20"/>
        </w:rPr>
        <w:footnoteRef/>
      </w:r>
      <w:r w:rsidRPr="00005CD2">
        <w:rPr>
          <w:rFonts w:ascii="Cambria" w:hAnsi="Cambria"/>
          <w:sz w:val="20"/>
        </w:rPr>
        <w:t xml:space="preserve"> This version is available at: http://www.parl.ca/DocumentViewer/en/42-1/bill/C-58/first-reading.</w:t>
      </w:r>
    </w:p>
  </w:footnote>
  <w:footnote w:id="10">
    <w:p w:rsidR="001A2BB9" w:rsidRPr="00005CD2" w:rsidRDefault="001A2BB9">
      <w:pPr>
        <w:pStyle w:val="FootnoteText"/>
        <w:rPr>
          <w:rFonts w:ascii="Cambria" w:hAnsi="Cambria"/>
          <w:sz w:val="20"/>
        </w:rPr>
      </w:pPr>
      <w:r w:rsidRPr="00005CD2">
        <w:rPr>
          <w:rStyle w:val="FootnoteReference"/>
          <w:rFonts w:ascii="Cambria" w:hAnsi="Cambria"/>
          <w:sz w:val="20"/>
        </w:rPr>
        <w:footnoteRef/>
      </w:r>
      <w:r w:rsidRPr="00005CD2">
        <w:rPr>
          <w:rFonts w:ascii="Cambria" w:hAnsi="Cambria"/>
          <w:sz w:val="20"/>
        </w:rPr>
        <w:t xml:space="preserve"> See</w:t>
      </w:r>
      <w:r>
        <w:rPr>
          <w:rFonts w:ascii="Cambria" w:hAnsi="Cambria"/>
          <w:sz w:val="20"/>
        </w:rPr>
        <w:t>, for example,</w:t>
      </w:r>
      <w:r w:rsidRPr="00005CD2">
        <w:rPr>
          <w:rFonts w:ascii="Cambria" w:hAnsi="Cambria"/>
          <w:sz w:val="20"/>
        </w:rPr>
        <w:t xml:space="preserve"> </w:t>
      </w:r>
      <w:r>
        <w:rPr>
          <w:rFonts w:ascii="Cambria" w:hAnsi="Cambria"/>
          <w:sz w:val="20"/>
        </w:rPr>
        <w:t xml:space="preserve">CLD, </w:t>
      </w:r>
      <w:r w:rsidRPr="00005CD2">
        <w:rPr>
          <w:rFonts w:ascii="Cambria" w:hAnsi="Cambria"/>
          <w:i/>
          <w:sz w:val="20"/>
        </w:rPr>
        <w:t>Canada: Note on Bill C-58 Amending the Access to Information Act</w:t>
      </w:r>
      <w:r>
        <w:rPr>
          <w:rFonts w:ascii="Cambria" w:hAnsi="Cambria"/>
          <w:sz w:val="20"/>
        </w:rPr>
        <w:t xml:space="preserve">, June 2017. Available at: </w:t>
      </w:r>
      <w:r w:rsidRPr="00BF47F0">
        <w:rPr>
          <w:rFonts w:ascii="Cambria" w:hAnsi="Cambria"/>
          <w:sz w:val="20"/>
        </w:rPr>
        <w:t>https://www.law-democracy.org/live/wp-content/uploads/2017/06/Canada.RTI-Note.Jun17.pdf</w:t>
      </w:r>
      <w:r>
        <w:rPr>
          <w:rFonts w:ascii="Cambria" w:hAnsi="Cambria"/>
          <w:sz w:val="20"/>
        </w:rPr>
        <w:t>.</w:t>
      </w:r>
    </w:p>
  </w:footnote>
  <w:footnote w:id="11">
    <w:p w:rsidR="001A2BB9" w:rsidRPr="00F05617" w:rsidRDefault="001A2BB9" w:rsidP="004657B1">
      <w:pPr>
        <w:pStyle w:val="FootnoteText"/>
        <w:jc w:val="both"/>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hAnsi="Cambria" w:cstheme="majorEastAsia"/>
          <w:sz w:val="20"/>
          <w:szCs w:val="20"/>
        </w:rPr>
        <w:t xml:space="preserve"> Information Commissioner of Canada, </w:t>
      </w:r>
      <w:r w:rsidRPr="00BF47F0">
        <w:rPr>
          <w:rFonts w:ascii="Cambria" w:hAnsi="Cambria" w:cstheme="majorEastAsia"/>
          <w:i/>
          <w:sz w:val="20"/>
          <w:szCs w:val="20"/>
        </w:rPr>
        <w:t>Failing to Strike the Right Balance for Transparency</w:t>
      </w:r>
      <w:r>
        <w:rPr>
          <w:rFonts w:ascii="Cambria" w:hAnsi="Cambria" w:cstheme="majorEastAsia"/>
          <w:sz w:val="20"/>
          <w:szCs w:val="20"/>
        </w:rPr>
        <w:t>,</w:t>
      </w:r>
      <w:r w:rsidRPr="00BF47F0">
        <w:rPr>
          <w:rFonts w:ascii="Cambria" w:hAnsi="Cambria" w:cstheme="majorEastAsia"/>
          <w:i/>
          <w:sz w:val="20"/>
          <w:szCs w:val="20"/>
        </w:rPr>
        <w:t xml:space="preserve"> </w:t>
      </w:r>
      <w:r>
        <w:rPr>
          <w:rFonts w:ascii="Cambria" w:hAnsi="Cambria" w:cstheme="majorEastAsia"/>
          <w:sz w:val="20"/>
          <w:szCs w:val="20"/>
        </w:rPr>
        <w:t>September 2017</w:t>
      </w:r>
      <w:r w:rsidRPr="00F05617">
        <w:rPr>
          <w:rFonts w:ascii="Cambria" w:hAnsi="Cambria" w:cstheme="majorEastAsia"/>
          <w:sz w:val="20"/>
          <w:szCs w:val="20"/>
        </w:rPr>
        <w:t xml:space="preserve">. Available at: </w:t>
      </w:r>
      <w:hyperlink r:id="rId9" w:anchor="1" w:history="1">
        <w:r w:rsidRPr="00F05617">
          <w:rPr>
            <w:rStyle w:val="Hyperlink"/>
            <w:rFonts w:ascii="Cambria" w:hAnsi="Cambria" w:cstheme="majorEastAsia"/>
            <w:sz w:val="20"/>
            <w:szCs w:val="20"/>
          </w:rPr>
          <w:t>http://www.ci-oic.gc.ca/eng/rapport-special-c-58_special-report-c-58.aspx#1</w:t>
        </w:r>
      </w:hyperlink>
      <w:r w:rsidRPr="00F05617">
        <w:rPr>
          <w:rFonts w:ascii="Cambria" w:hAnsi="Cambria" w:cstheme="majorEastAsia"/>
          <w:sz w:val="20"/>
          <w:szCs w:val="20"/>
        </w:rPr>
        <w:t xml:space="preserve">. </w:t>
      </w:r>
    </w:p>
  </w:footnote>
  <w:footnote w:id="12">
    <w:p w:rsidR="001A2BB9" w:rsidRPr="00B61654" w:rsidRDefault="001A2BB9">
      <w:pPr>
        <w:pStyle w:val="FootnoteText"/>
        <w:rPr>
          <w:rFonts w:ascii="Cambria" w:hAnsi="Cambria"/>
          <w:sz w:val="20"/>
        </w:rPr>
      </w:pPr>
      <w:r w:rsidRPr="00B61654">
        <w:rPr>
          <w:rStyle w:val="FootnoteReference"/>
          <w:rFonts w:ascii="Cambria" w:hAnsi="Cambria"/>
          <w:sz w:val="20"/>
        </w:rPr>
        <w:footnoteRef/>
      </w:r>
      <w:r w:rsidRPr="00B61654">
        <w:rPr>
          <w:rFonts w:ascii="Cambria" w:hAnsi="Cambria"/>
          <w:sz w:val="20"/>
        </w:rPr>
        <w:t xml:space="preserve"> See </w:t>
      </w:r>
      <w:r w:rsidRPr="00B61654">
        <w:rPr>
          <w:rFonts w:ascii="Cambria" w:hAnsi="Cambria"/>
          <w:i/>
          <w:sz w:val="20"/>
        </w:rPr>
        <w:t>Canada: Note on Bill C-58 Amending the Access to Information Act</w:t>
      </w:r>
      <w:r w:rsidRPr="00B61654">
        <w:rPr>
          <w:rFonts w:ascii="Cambria" w:hAnsi="Cambria"/>
          <w:sz w:val="20"/>
        </w:rPr>
        <w:t xml:space="preserve">, note </w:t>
      </w:r>
      <w:r w:rsidR="00B30541" w:rsidRPr="00B61654">
        <w:rPr>
          <w:rFonts w:ascii="Cambria" w:hAnsi="Cambria" w:cstheme="majorEastAsia"/>
          <w:sz w:val="20"/>
          <w:szCs w:val="20"/>
        </w:rPr>
        <w:fldChar w:fldCharType="begin"/>
      </w:r>
      <w:r w:rsidRPr="00B61654">
        <w:rPr>
          <w:rFonts w:ascii="Cambria" w:hAnsi="Cambria" w:cstheme="majorEastAsia"/>
          <w:sz w:val="20"/>
          <w:szCs w:val="20"/>
        </w:rPr>
        <w:instrText xml:space="preserve"> NOTEREF _Ref379454809 \h </w:instrText>
      </w:r>
      <w:r w:rsidR="00B30541" w:rsidRPr="00B61654">
        <w:rPr>
          <w:rFonts w:ascii="Cambria" w:hAnsi="Cambria" w:cstheme="majorEastAsia"/>
          <w:sz w:val="20"/>
          <w:szCs w:val="20"/>
        </w:rPr>
      </w:r>
      <w:r w:rsidR="00B30541" w:rsidRPr="00B61654">
        <w:rPr>
          <w:rFonts w:ascii="Cambria" w:hAnsi="Cambria" w:cstheme="majorEastAsia"/>
          <w:sz w:val="20"/>
          <w:szCs w:val="20"/>
        </w:rPr>
        <w:fldChar w:fldCharType="separate"/>
      </w:r>
      <w:r w:rsidRPr="00B61654">
        <w:rPr>
          <w:rFonts w:ascii="Cambria" w:hAnsi="Cambria" w:cstheme="majorEastAsia"/>
          <w:sz w:val="20"/>
          <w:szCs w:val="20"/>
        </w:rPr>
        <w:t>10</w:t>
      </w:r>
      <w:r w:rsidR="00B30541" w:rsidRPr="00B61654">
        <w:rPr>
          <w:rFonts w:ascii="Cambria" w:hAnsi="Cambria" w:cstheme="majorEastAsia"/>
          <w:sz w:val="20"/>
          <w:szCs w:val="20"/>
        </w:rPr>
        <w:fldChar w:fldCharType="end"/>
      </w:r>
      <w:r w:rsidRPr="00B61654">
        <w:rPr>
          <w:rFonts w:ascii="Cambria" w:hAnsi="Cambria" w:cstheme="majorEastAsia"/>
          <w:sz w:val="20"/>
          <w:szCs w:val="20"/>
        </w:rPr>
        <w:t>.</w:t>
      </w:r>
    </w:p>
  </w:footnote>
  <w:footnote w:id="13">
    <w:p w:rsidR="001A2BB9" w:rsidRPr="00486DA6" w:rsidRDefault="001A2BB9" w:rsidP="007C0148">
      <w:pPr>
        <w:pStyle w:val="FootnoteText"/>
        <w:rPr>
          <w:rFonts w:ascii="Cambria" w:hAnsi="Cambria"/>
          <w:sz w:val="20"/>
        </w:rPr>
      </w:pPr>
      <w:r w:rsidRPr="00486DA6">
        <w:rPr>
          <w:rStyle w:val="FootnoteReference"/>
          <w:rFonts w:ascii="Cambria" w:hAnsi="Cambria"/>
          <w:sz w:val="20"/>
        </w:rPr>
        <w:footnoteRef/>
      </w:r>
      <w:r w:rsidRPr="00486DA6">
        <w:rPr>
          <w:rFonts w:ascii="Cambria" w:hAnsi="Cambria"/>
          <w:sz w:val="20"/>
        </w:rPr>
        <w:t xml:space="preserve"> Available at: https://www.law-democracy.org/live/letter-to-the-president-of-the-treasury-board-demanding-access-to-information-reform/.</w:t>
      </w:r>
    </w:p>
  </w:footnote>
  <w:footnote w:id="14">
    <w:p w:rsidR="001A2BB9" w:rsidRPr="00B81569" w:rsidRDefault="001A2BB9">
      <w:pPr>
        <w:pStyle w:val="FootnoteText"/>
        <w:rPr>
          <w:rFonts w:ascii="Cambria" w:hAnsi="Cambria"/>
          <w:sz w:val="20"/>
        </w:rPr>
      </w:pPr>
      <w:r w:rsidRPr="00B81569">
        <w:rPr>
          <w:rStyle w:val="FootnoteReference"/>
          <w:rFonts w:ascii="Cambria" w:hAnsi="Cambria"/>
          <w:sz w:val="20"/>
        </w:rPr>
        <w:footnoteRef/>
      </w:r>
      <w:r w:rsidRPr="00B81569">
        <w:rPr>
          <w:rFonts w:ascii="Cambria" w:hAnsi="Cambria"/>
          <w:sz w:val="20"/>
        </w:rPr>
        <w:t xml:space="preserve"> This version is available at: http://www.parl.ca/DocumentViewer/en/42-1/bill/C-58/third-reading.</w:t>
      </w:r>
    </w:p>
  </w:footnote>
  <w:footnote w:id="15">
    <w:p w:rsidR="001A2BB9" w:rsidRPr="00F05617" w:rsidRDefault="001A2BB9" w:rsidP="004657B1">
      <w:pPr>
        <w:widowControl w:val="0"/>
        <w:autoSpaceDE w:val="0"/>
        <w:autoSpaceDN w:val="0"/>
        <w:adjustRightInd w:val="0"/>
        <w:jc w:val="both"/>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hAnsi="Cambria" w:cstheme="majorEastAsia"/>
          <w:sz w:val="20"/>
          <w:szCs w:val="20"/>
        </w:rPr>
        <w:t xml:space="preserve"> </w:t>
      </w:r>
      <w:r>
        <w:rPr>
          <w:rFonts w:ascii="Cambria" w:hAnsi="Cambria" w:cstheme="majorEastAsia"/>
          <w:sz w:val="20"/>
          <w:szCs w:val="20"/>
        </w:rPr>
        <w:t xml:space="preserve">Note </w:t>
      </w:r>
      <w:r w:rsidR="00B30541">
        <w:rPr>
          <w:rFonts w:ascii="Cambria" w:hAnsi="Cambria" w:cstheme="majorEastAsia"/>
          <w:sz w:val="20"/>
          <w:szCs w:val="20"/>
        </w:rPr>
        <w:fldChar w:fldCharType="begin"/>
      </w:r>
      <w:r>
        <w:rPr>
          <w:rFonts w:ascii="Cambria" w:hAnsi="Cambria" w:cstheme="majorEastAsia"/>
          <w:sz w:val="20"/>
          <w:szCs w:val="20"/>
        </w:rPr>
        <w:instrText xml:space="preserve"> NOTEREF _Ref379454778 \h </w:instrText>
      </w:r>
      <w:r w:rsidR="00B30541">
        <w:rPr>
          <w:rFonts w:ascii="Cambria" w:hAnsi="Cambria" w:cstheme="majorEastAsia"/>
          <w:sz w:val="20"/>
          <w:szCs w:val="20"/>
        </w:rPr>
      </w:r>
      <w:r w:rsidR="00B30541">
        <w:rPr>
          <w:rFonts w:ascii="Cambria" w:hAnsi="Cambria" w:cstheme="majorEastAsia"/>
          <w:sz w:val="20"/>
          <w:szCs w:val="20"/>
        </w:rPr>
        <w:fldChar w:fldCharType="separate"/>
      </w:r>
      <w:r>
        <w:rPr>
          <w:rFonts w:ascii="Cambria" w:hAnsi="Cambria" w:cstheme="majorEastAsia"/>
          <w:sz w:val="20"/>
          <w:szCs w:val="20"/>
        </w:rPr>
        <w:t>7</w:t>
      </w:r>
      <w:r w:rsidR="00B30541">
        <w:rPr>
          <w:rFonts w:ascii="Cambria" w:hAnsi="Cambria" w:cstheme="majorEastAsia"/>
          <w:sz w:val="20"/>
          <w:szCs w:val="20"/>
        </w:rPr>
        <w:fldChar w:fldCharType="end"/>
      </w:r>
      <w:r w:rsidRPr="00F05617">
        <w:rPr>
          <w:rFonts w:ascii="Cambria" w:eastAsia="Cambria" w:hAnsi="Cambria" w:cstheme="majorEastAsia"/>
          <w:sz w:val="20"/>
          <w:szCs w:val="20"/>
        </w:rPr>
        <w:t xml:space="preserve">. </w:t>
      </w:r>
    </w:p>
  </w:footnote>
  <w:footnote w:id="16">
    <w:p w:rsidR="001A2BB9" w:rsidRPr="00F05617" w:rsidRDefault="001A2BB9" w:rsidP="00135802">
      <w:pPr>
        <w:pStyle w:val="FootnoteText"/>
        <w:jc w:val="both"/>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hAnsi="Cambria" w:cstheme="majorEastAsia"/>
          <w:sz w:val="20"/>
          <w:szCs w:val="20"/>
        </w:rPr>
        <w:t xml:space="preserve"> </w:t>
      </w:r>
      <w:r>
        <w:rPr>
          <w:rFonts w:ascii="Cambria" w:hAnsi="Cambria" w:cstheme="majorEastAsia"/>
          <w:sz w:val="20"/>
          <w:szCs w:val="20"/>
        </w:rPr>
        <w:t xml:space="preserve">Note </w:t>
      </w:r>
      <w:r w:rsidR="00B30541">
        <w:rPr>
          <w:rFonts w:ascii="Cambria" w:hAnsi="Cambria" w:cstheme="majorEastAsia"/>
          <w:sz w:val="20"/>
          <w:szCs w:val="20"/>
        </w:rPr>
        <w:fldChar w:fldCharType="begin"/>
      </w:r>
      <w:r>
        <w:rPr>
          <w:rFonts w:ascii="Cambria" w:hAnsi="Cambria" w:cstheme="majorEastAsia"/>
          <w:sz w:val="20"/>
          <w:szCs w:val="20"/>
        </w:rPr>
        <w:instrText xml:space="preserve"> NOTEREF _Ref379454809 \h </w:instrText>
      </w:r>
      <w:r w:rsidR="00B30541">
        <w:rPr>
          <w:rFonts w:ascii="Cambria" w:hAnsi="Cambria" w:cstheme="majorEastAsia"/>
          <w:sz w:val="20"/>
          <w:szCs w:val="20"/>
        </w:rPr>
      </w:r>
      <w:r w:rsidR="00B30541">
        <w:rPr>
          <w:rFonts w:ascii="Cambria" w:hAnsi="Cambria" w:cstheme="majorEastAsia"/>
          <w:sz w:val="20"/>
          <w:szCs w:val="20"/>
        </w:rPr>
        <w:fldChar w:fldCharType="separate"/>
      </w:r>
      <w:r>
        <w:rPr>
          <w:rFonts w:ascii="Cambria" w:hAnsi="Cambria" w:cstheme="majorEastAsia"/>
          <w:sz w:val="20"/>
          <w:szCs w:val="20"/>
        </w:rPr>
        <w:t>10</w:t>
      </w:r>
      <w:r w:rsidR="00B30541">
        <w:rPr>
          <w:rFonts w:ascii="Cambria" w:hAnsi="Cambria" w:cstheme="majorEastAsia"/>
          <w:sz w:val="20"/>
          <w:szCs w:val="20"/>
        </w:rPr>
        <w:fldChar w:fldCharType="end"/>
      </w:r>
      <w:r>
        <w:rPr>
          <w:rFonts w:ascii="Cambria" w:hAnsi="Cambria" w:cstheme="majorEastAsia"/>
          <w:sz w:val="20"/>
          <w:szCs w:val="20"/>
        </w:rPr>
        <w:t>.</w:t>
      </w:r>
    </w:p>
  </w:footnote>
  <w:footnote w:id="17">
    <w:p w:rsidR="001A2BB9" w:rsidRPr="00A41D69" w:rsidRDefault="001A2BB9" w:rsidP="00C36EEE">
      <w:pPr>
        <w:pStyle w:val="FootnoteText"/>
        <w:rPr>
          <w:rFonts w:ascii="Cambria" w:hAnsi="Cambria" w:cstheme="majorEastAsia"/>
          <w:sz w:val="20"/>
          <w:szCs w:val="20"/>
        </w:rPr>
      </w:pPr>
      <w:r w:rsidRPr="00A41D69">
        <w:rPr>
          <w:rStyle w:val="FootnoteReference"/>
          <w:rFonts w:ascii="Cambria" w:hAnsi="Cambria" w:cstheme="majorEastAsia"/>
          <w:sz w:val="20"/>
          <w:szCs w:val="20"/>
        </w:rPr>
        <w:footnoteRef/>
      </w:r>
      <w:r w:rsidRPr="00A41D69">
        <w:rPr>
          <w:rFonts w:ascii="Cambria" w:hAnsi="Cambria" w:cstheme="majorEastAsia"/>
          <w:sz w:val="20"/>
          <w:szCs w:val="20"/>
        </w:rPr>
        <w:t xml:space="preserve"> The Report is available at: </w:t>
      </w:r>
      <w:r w:rsidRPr="00A41D69">
        <w:rPr>
          <w:rFonts w:ascii="Cambria" w:hAnsi="Cambria"/>
          <w:sz w:val="20"/>
        </w:rPr>
        <w:t>http://www.ourcommons.ca/Content/Committee/421/ETHI/Reports/RP8360717/ETHIrp02/ETHIrp02-e.pdf</w:t>
      </w:r>
      <w:r w:rsidRPr="00A41D69">
        <w:rPr>
          <w:rFonts w:ascii="Cambria" w:hAnsi="Cambria" w:cstheme="majorEastAsia"/>
          <w:sz w:val="20"/>
          <w:szCs w:val="20"/>
        </w:rPr>
        <w:t xml:space="preserve">.   </w:t>
      </w:r>
    </w:p>
  </w:footnote>
  <w:footnote w:id="18">
    <w:p w:rsidR="001A2BB9" w:rsidRPr="00F05617" w:rsidRDefault="001A2BB9" w:rsidP="00DC160D">
      <w:pPr>
        <w:pStyle w:val="FootnoteText"/>
        <w:jc w:val="both"/>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hAnsi="Cambria" w:cstheme="majorEastAsia"/>
          <w:sz w:val="20"/>
          <w:szCs w:val="20"/>
        </w:rPr>
        <w:t xml:space="preserve"> </w:t>
      </w:r>
      <w:r>
        <w:rPr>
          <w:rFonts w:ascii="Cambria" w:hAnsi="Cambria" w:cstheme="majorEastAsia"/>
          <w:sz w:val="20"/>
          <w:szCs w:val="20"/>
        </w:rPr>
        <w:t xml:space="preserve">See the </w:t>
      </w:r>
      <w:r w:rsidRPr="00F05617">
        <w:rPr>
          <w:rFonts w:ascii="Cambria" w:hAnsi="Cambria" w:cstheme="majorEastAsia"/>
          <w:sz w:val="20"/>
          <w:szCs w:val="20"/>
        </w:rPr>
        <w:t xml:space="preserve">Liberal Party’s Access to Information Promises: </w:t>
      </w:r>
      <w:hyperlink r:id="rId10" w:history="1">
        <w:r w:rsidRPr="00F05617">
          <w:rPr>
            <w:rStyle w:val="Hyperlink"/>
            <w:rFonts w:ascii="Cambria" w:hAnsi="Cambria" w:cstheme="majorEastAsia"/>
            <w:sz w:val="20"/>
            <w:szCs w:val="20"/>
          </w:rPr>
          <w:t>https://www.liberal.ca/realchange/access-to-information/</w:t>
        </w:r>
      </w:hyperlink>
      <w:r w:rsidRPr="00F05617">
        <w:rPr>
          <w:rFonts w:ascii="Cambria" w:hAnsi="Cambria" w:cstheme="majorEastAsia"/>
          <w:sz w:val="20"/>
          <w:szCs w:val="20"/>
        </w:rPr>
        <w:t xml:space="preserve">. </w:t>
      </w:r>
    </w:p>
  </w:footnote>
  <w:footnote w:id="19">
    <w:p w:rsidR="001A2BB9" w:rsidRPr="00F05617" w:rsidRDefault="001A2BB9" w:rsidP="00402D69">
      <w:pPr>
        <w:pStyle w:val="FootnoteText"/>
        <w:jc w:val="both"/>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hAnsi="Cambria" w:cstheme="majorEastAsia"/>
          <w:sz w:val="20"/>
          <w:szCs w:val="20"/>
        </w:rPr>
        <w:t xml:space="preserve"> </w:t>
      </w:r>
      <w:r>
        <w:rPr>
          <w:rFonts w:ascii="Cambria" w:hAnsi="Cambria" w:cstheme="majorEastAsia"/>
          <w:sz w:val="20"/>
          <w:szCs w:val="20"/>
        </w:rPr>
        <w:t xml:space="preserve">Recommendation No. 16 of the ETHI Committee Report, note </w:t>
      </w:r>
      <w:r w:rsidR="00B30541">
        <w:rPr>
          <w:rFonts w:ascii="Cambria" w:hAnsi="Cambria" w:cstheme="majorEastAsia"/>
          <w:sz w:val="20"/>
          <w:szCs w:val="20"/>
        </w:rPr>
        <w:fldChar w:fldCharType="begin"/>
      </w:r>
      <w:r>
        <w:rPr>
          <w:rFonts w:ascii="Cambria" w:hAnsi="Cambria" w:cstheme="majorEastAsia"/>
          <w:sz w:val="20"/>
          <w:szCs w:val="20"/>
        </w:rPr>
        <w:instrText xml:space="preserve"> NOTEREF _Ref379465807 \h </w:instrText>
      </w:r>
      <w:r w:rsidR="00B30541">
        <w:rPr>
          <w:rFonts w:ascii="Cambria" w:hAnsi="Cambria" w:cstheme="majorEastAsia"/>
          <w:sz w:val="20"/>
          <w:szCs w:val="20"/>
        </w:rPr>
      </w:r>
      <w:r w:rsidR="00B30541">
        <w:rPr>
          <w:rFonts w:ascii="Cambria" w:hAnsi="Cambria" w:cstheme="majorEastAsia"/>
          <w:sz w:val="20"/>
          <w:szCs w:val="20"/>
        </w:rPr>
        <w:fldChar w:fldCharType="separate"/>
      </w:r>
      <w:r>
        <w:rPr>
          <w:rFonts w:ascii="Cambria" w:hAnsi="Cambria" w:cstheme="majorEastAsia"/>
          <w:sz w:val="20"/>
          <w:szCs w:val="20"/>
        </w:rPr>
        <w:t>15</w:t>
      </w:r>
      <w:r w:rsidR="00B30541">
        <w:rPr>
          <w:rFonts w:ascii="Cambria" w:hAnsi="Cambria" w:cstheme="majorEastAsia"/>
          <w:sz w:val="20"/>
          <w:szCs w:val="20"/>
        </w:rPr>
        <w:fldChar w:fldCharType="end"/>
      </w:r>
      <w:r>
        <w:rPr>
          <w:rFonts w:ascii="Cambria" w:hAnsi="Cambria" w:cstheme="majorEastAsia"/>
          <w:sz w:val="20"/>
          <w:szCs w:val="20"/>
        </w:rPr>
        <w:t>, called for this</w:t>
      </w:r>
      <w:r w:rsidRPr="00F05617">
        <w:rPr>
          <w:rFonts w:ascii="Cambria" w:hAnsi="Cambria" w:cstheme="majorEastAsia"/>
          <w:sz w:val="20"/>
          <w:szCs w:val="20"/>
        </w:rPr>
        <w:t>.</w:t>
      </w:r>
    </w:p>
  </w:footnote>
  <w:footnote w:id="20">
    <w:p w:rsidR="001A2BB9" w:rsidRPr="00F05617" w:rsidRDefault="001A2BB9" w:rsidP="004657B1">
      <w:pPr>
        <w:pStyle w:val="FootnoteText"/>
        <w:jc w:val="both"/>
        <w:rPr>
          <w:rFonts w:ascii="Cambria" w:hAnsi="Cambria" w:cstheme="majorEastAsia"/>
          <w:b/>
          <w:bCs/>
          <w:sz w:val="20"/>
          <w:szCs w:val="20"/>
        </w:rPr>
      </w:pPr>
      <w:r w:rsidRPr="00F05617">
        <w:rPr>
          <w:rStyle w:val="FootnoteReference"/>
          <w:rFonts w:ascii="Cambria" w:hAnsi="Cambria" w:cstheme="majorEastAsia"/>
          <w:sz w:val="20"/>
          <w:szCs w:val="20"/>
        </w:rPr>
        <w:footnoteRef/>
      </w:r>
      <w:r>
        <w:rPr>
          <w:rFonts w:ascii="Cambria" w:hAnsi="Cambria" w:cstheme="majorEastAsia"/>
          <w:bCs/>
          <w:sz w:val="20"/>
          <w:szCs w:val="20"/>
        </w:rPr>
        <w:t xml:space="preserve"> Adopted</w:t>
      </w:r>
      <w:r w:rsidRPr="009E455F">
        <w:rPr>
          <w:rFonts w:ascii="Cambria" w:hAnsi="Cambria"/>
          <w:sz w:val="20"/>
        </w:rPr>
        <w:t xml:space="preserve"> 5 May 2016</w:t>
      </w:r>
      <w:r w:rsidRPr="009E455F">
        <w:rPr>
          <w:rFonts w:ascii="Cambria" w:hAnsi="Cambria" w:cstheme="majorEastAsia"/>
          <w:bCs/>
          <w:sz w:val="20"/>
          <w:szCs w:val="20"/>
        </w:rPr>
        <w:t>.</w:t>
      </w:r>
      <w:r w:rsidRPr="00F05617">
        <w:rPr>
          <w:rFonts w:ascii="Cambria" w:hAnsi="Cambria" w:cstheme="majorEastAsia"/>
          <w:bCs/>
          <w:sz w:val="20"/>
          <w:szCs w:val="20"/>
        </w:rPr>
        <w:t xml:space="preserve"> </w:t>
      </w:r>
      <w:r w:rsidRPr="00F05617">
        <w:rPr>
          <w:rFonts w:ascii="Cambria" w:hAnsi="Cambria" w:cstheme="majorEastAsia"/>
          <w:sz w:val="20"/>
          <w:szCs w:val="20"/>
        </w:rPr>
        <w:t xml:space="preserve">Available at: </w:t>
      </w:r>
      <w:hyperlink r:id="rId11" w:history="1">
        <w:r w:rsidRPr="00F05617">
          <w:rPr>
            <w:rStyle w:val="Hyperlink"/>
            <w:rFonts w:ascii="Cambria" w:hAnsi="Cambria" w:cstheme="majorEastAsia"/>
            <w:sz w:val="20"/>
            <w:szCs w:val="20"/>
          </w:rPr>
          <w:t>https://www.tbs-sct.gc.ca/pol/doc-eng.aspx?id=18310</w:t>
        </w:r>
      </w:hyperlink>
      <w:r w:rsidRPr="00F05617">
        <w:rPr>
          <w:rFonts w:ascii="Cambria" w:hAnsi="Cambria" w:cstheme="majorEastAsia"/>
          <w:sz w:val="20"/>
          <w:szCs w:val="20"/>
        </w:rPr>
        <w:t xml:space="preserve">. </w:t>
      </w:r>
    </w:p>
  </w:footnote>
  <w:footnote w:id="21">
    <w:p w:rsidR="001A2BB9" w:rsidRPr="00F05617" w:rsidRDefault="001A2BB9" w:rsidP="00550248">
      <w:pPr>
        <w:pStyle w:val="FootnoteText"/>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hAnsi="Cambria" w:cstheme="majorEastAsia"/>
          <w:sz w:val="20"/>
          <w:szCs w:val="20"/>
        </w:rPr>
        <w:t xml:space="preserve"> </w:t>
      </w:r>
      <w:r w:rsidRPr="00C524B6">
        <w:rPr>
          <w:rFonts w:ascii="Cambria" w:hAnsi="Cambria" w:cstheme="majorEastAsia"/>
          <w:i/>
          <w:sz w:val="20"/>
          <w:szCs w:val="20"/>
        </w:rPr>
        <w:t>Failing to Strike the Right Balance for Transparency</w:t>
      </w:r>
      <w:r>
        <w:rPr>
          <w:rFonts w:ascii="Cambria" w:hAnsi="Cambria" w:cstheme="majorEastAsia"/>
          <w:sz w:val="20"/>
          <w:szCs w:val="20"/>
        </w:rPr>
        <w:t xml:space="preserve">, note </w:t>
      </w:r>
      <w:r w:rsidR="00B30541">
        <w:rPr>
          <w:rFonts w:ascii="Cambria" w:hAnsi="Cambria" w:cstheme="majorEastAsia"/>
          <w:sz w:val="20"/>
          <w:szCs w:val="20"/>
        </w:rPr>
        <w:fldChar w:fldCharType="begin"/>
      </w:r>
      <w:r>
        <w:rPr>
          <w:rFonts w:ascii="Cambria" w:hAnsi="Cambria" w:cstheme="majorEastAsia"/>
          <w:sz w:val="20"/>
          <w:szCs w:val="20"/>
        </w:rPr>
        <w:instrText xml:space="preserve"> NOTEREF _Ref379474558 \h </w:instrText>
      </w:r>
      <w:r w:rsidR="00B30541">
        <w:rPr>
          <w:rFonts w:ascii="Cambria" w:hAnsi="Cambria" w:cstheme="majorEastAsia"/>
          <w:sz w:val="20"/>
          <w:szCs w:val="20"/>
        </w:rPr>
      </w:r>
      <w:r w:rsidR="00B30541">
        <w:rPr>
          <w:rFonts w:ascii="Cambria" w:hAnsi="Cambria" w:cstheme="majorEastAsia"/>
          <w:sz w:val="20"/>
          <w:szCs w:val="20"/>
        </w:rPr>
        <w:fldChar w:fldCharType="separate"/>
      </w:r>
      <w:r>
        <w:rPr>
          <w:rFonts w:ascii="Cambria" w:hAnsi="Cambria" w:cstheme="majorEastAsia"/>
          <w:sz w:val="20"/>
          <w:szCs w:val="20"/>
        </w:rPr>
        <w:t>11</w:t>
      </w:r>
      <w:r w:rsidR="00B30541">
        <w:rPr>
          <w:rFonts w:ascii="Cambria" w:hAnsi="Cambria" w:cstheme="majorEastAsia"/>
          <w:sz w:val="20"/>
          <w:szCs w:val="20"/>
        </w:rPr>
        <w:fldChar w:fldCharType="end"/>
      </w:r>
      <w:r>
        <w:rPr>
          <w:rFonts w:ascii="Cambria" w:hAnsi="Cambria" w:cstheme="majorEastAsia"/>
          <w:sz w:val="20"/>
          <w:szCs w:val="20"/>
        </w:rPr>
        <w:t>.</w:t>
      </w:r>
      <w:r w:rsidRPr="00F05617">
        <w:rPr>
          <w:rFonts w:ascii="Cambria" w:hAnsi="Cambria" w:cstheme="majorEastAsia"/>
          <w:sz w:val="20"/>
          <w:szCs w:val="20"/>
        </w:rPr>
        <w:t xml:space="preserve"> </w:t>
      </w:r>
    </w:p>
  </w:footnote>
  <w:footnote w:id="22">
    <w:p w:rsidR="001A2BB9" w:rsidRPr="00F05617" w:rsidRDefault="001A2BB9">
      <w:pPr>
        <w:pStyle w:val="FootnoteText"/>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hAnsi="Cambria" w:cstheme="majorEastAsia"/>
          <w:sz w:val="20"/>
          <w:szCs w:val="20"/>
        </w:rPr>
        <w:t xml:space="preserve"> Other sections </w:t>
      </w:r>
      <w:r>
        <w:rPr>
          <w:rFonts w:ascii="Cambria" w:hAnsi="Cambria" w:cstheme="majorEastAsia"/>
          <w:sz w:val="20"/>
          <w:szCs w:val="20"/>
        </w:rPr>
        <w:t xml:space="preserve">falling within this description </w:t>
      </w:r>
      <w:r w:rsidRPr="00F05617">
        <w:rPr>
          <w:rFonts w:ascii="Cambria" w:hAnsi="Cambria" w:cstheme="majorEastAsia"/>
          <w:sz w:val="20"/>
          <w:szCs w:val="20"/>
        </w:rPr>
        <w:t>include: 16.1, 16.2, 16.3, 16.31, 16.4, 16.5, 20, 20.1, 20.2, 20.4, 21 and 22.1.</w:t>
      </w:r>
    </w:p>
  </w:footnote>
  <w:footnote w:id="23">
    <w:p w:rsidR="001A2BB9" w:rsidRPr="00F05617" w:rsidRDefault="001A2BB9" w:rsidP="004657B1">
      <w:pPr>
        <w:jc w:val="both"/>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eastAsia="Cambria" w:hAnsi="Cambria" w:cstheme="majorEastAsia"/>
          <w:sz w:val="20"/>
          <w:szCs w:val="20"/>
        </w:rPr>
        <w:t xml:space="preserve"> </w:t>
      </w:r>
      <w:r w:rsidRPr="00F05617">
        <w:rPr>
          <w:rFonts w:ascii="Cambria" w:eastAsia="Cambria" w:hAnsi="Cambria" w:cstheme="majorEastAsia"/>
          <w:i/>
          <w:iCs/>
          <w:sz w:val="20"/>
          <w:szCs w:val="20"/>
        </w:rPr>
        <w:t>Ontario (Public Safety and Security) v. Criminal Lawyers’ Association</w:t>
      </w:r>
      <w:r w:rsidRPr="0042626A">
        <w:rPr>
          <w:rFonts w:ascii="Cambria" w:eastAsia="Cambria" w:hAnsi="Cambria" w:cstheme="majorEastAsia"/>
          <w:iCs/>
          <w:sz w:val="20"/>
          <w:szCs w:val="20"/>
        </w:rPr>
        <w:t>, 2010 SCC 23, [2010] 1 S.C.R. 815</w:t>
      </w:r>
      <w:r w:rsidRPr="0042626A">
        <w:rPr>
          <w:rFonts w:ascii="Cambria" w:eastAsia="Cambria" w:hAnsi="Cambria" w:cstheme="majorEastAsia"/>
          <w:sz w:val="20"/>
          <w:szCs w:val="20"/>
        </w:rPr>
        <w:t xml:space="preserve">, para. </w:t>
      </w:r>
      <w:r w:rsidRPr="00F05617">
        <w:rPr>
          <w:rFonts w:ascii="Cambria" w:eastAsia="Cambria" w:hAnsi="Cambria" w:cstheme="majorEastAsia"/>
          <w:sz w:val="20"/>
          <w:szCs w:val="20"/>
        </w:rPr>
        <w:t>48.</w:t>
      </w:r>
    </w:p>
  </w:footnote>
  <w:footnote w:id="24">
    <w:p w:rsidR="001A2BB9" w:rsidRPr="00F05617" w:rsidRDefault="001A2BB9">
      <w:pPr>
        <w:pStyle w:val="FootnoteText"/>
        <w:rPr>
          <w:rFonts w:ascii="Cambria" w:hAnsi="Cambria" w:cstheme="majorEastAsia"/>
          <w:sz w:val="20"/>
          <w:szCs w:val="20"/>
        </w:rPr>
      </w:pPr>
      <w:r w:rsidRPr="00F05617">
        <w:rPr>
          <w:rStyle w:val="FootnoteReference"/>
          <w:rFonts w:ascii="Cambria" w:hAnsi="Cambria" w:cstheme="majorEastAsia"/>
          <w:sz w:val="20"/>
          <w:szCs w:val="20"/>
        </w:rPr>
        <w:footnoteRef/>
      </w:r>
      <w:r w:rsidRPr="00F05617">
        <w:rPr>
          <w:rFonts w:ascii="Cambria" w:hAnsi="Cambria" w:cstheme="majorEastAsia"/>
          <w:sz w:val="20"/>
          <w:szCs w:val="20"/>
        </w:rPr>
        <w:t xml:space="preserve"> </w:t>
      </w:r>
      <w:r>
        <w:rPr>
          <w:rFonts w:ascii="Cambria" w:hAnsi="Cambria" w:cstheme="majorEastAsia"/>
          <w:sz w:val="20"/>
          <w:szCs w:val="20"/>
        </w:rPr>
        <w:t xml:space="preserve">According to the </w:t>
      </w:r>
      <w:r w:rsidRPr="00F05617">
        <w:rPr>
          <w:rFonts w:ascii="Cambria" w:hAnsi="Cambria" w:cstheme="majorEastAsia"/>
          <w:sz w:val="20"/>
          <w:szCs w:val="20"/>
        </w:rPr>
        <w:t>RTI Rating</w:t>
      </w:r>
      <w:r>
        <w:rPr>
          <w:rFonts w:ascii="Cambria" w:hAnsi="Cambria" w:cstheme="majorEastAsia"/>
          <w:sz w:val="20"/>
          <w:szCs w:val="20"/>
        </w:rPr>
        <w:t xml:space="preserve">, the leading global methodology for assessing the strength of a country’s legal framework for the right to information. The </w:t>
      </w:r>
      <w:r w:rsidRPr="00F05617">
        <w:rPr>
          <w:rFonts w:ascii="Cambria" w:hAnsi="Cambria" w:cstheme="majorEastAsia"/>
          <w:sz w:val="20"/>
          <w:szCs w:val="20"/>
        </w:rPr>
        <w:t>Country Data</w:t>
      </w:r>
      <w:r>
        <w:rPr>
          <w:rFonts w:ascii="Cambria" w:hAnsi="Cambria" w:cstheme="majorEastAsia"/>
          <w:sz w:val="20"/>
          <w:szCs w:val="20"/>
        </w:rPr>
        <w:t xml:space="preserve"> for the Rating is a</w:t>
      </w:r>
      <w:r w:rsidRPr="00F05617">
        <w:rPr>
          <w:rFonts w:ascii="Cambria" w:hAnsi="Cambria" w:cstheme="majorEastAsia"/>
          <w:sz w:val="20"/>
          <w:szCs w:val="20"/>
        </w:rPr>
        <w:t xml:space="preserve">vailable at: </w:t>
      </w:r>
      <w:hyperlink r:id="rId12" w:history="1">
        <w:r w:rsidRPr="00F05617">
          <w:rPr>
            <w:rStyle w:val="Hyperlink"/>
            <w:rFonts w:ascii="Cambria" w:hAnsi="Cambria" w:cstheme="majorEastAsia"/>
            <w:sz w:val="20"/>
            <w:szCs w:val="20"/>
          </w:rPr>
          <w:t>http://www.rti-rating.org/country-data/</w:t>
        </w:r>
      </w:hyperlink>
      <w:r>
        <w:rPr>
          <w:rFonts w:ascii="Cambria" w:hAnsi="Cambria" w:cstheme="majorEastAsia"/>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BB9" w:rsidRPr="00576B7C" w:rsidRDefault="001A2BB9" w:rsidP="00D23323">
    <w:pPr>
      <w:pStyle w:val="Header"/>
      <w:jc w:val="center"/>
      <w:rPr>
        <w:sz w:val="22"/>
      </w:rPr>
    </w:pPr>
    <w:r>
      <w:rPr>
        <w:sz w:val="22"/>
      </w:rPr>
      <w:t xml:space="preserve">Canada – Note on Bill C-58 Amending the Access to </w:t>
    </w:r>
    <w:r w:rsidRPr="00712637">
      <w:rPr>
        <w:sz w:val="22"/>
      </w:rPr>
      <w:t>Information Act</w:t>
    </w:r>
  </w:p>
  <w:p w:rsidR="001A2BB9" w:rsidRPr="00D23323" w:rsidRDefault="001A2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792A"/>
    <w:multiLevelType w:val="hybridMultilevel"/>
    <w:tmpl w:val="1FC64D96"/>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53FB8"/>
    <w:multiLevelType w:val="hybridMultilevel"/>
    <w:tmpl w:val="ACBA0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E1BE3"/>
    <w:multiLevelType w:val="multilevel"/>
    <w:tmpl w:val="15B0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95F58"/>
    <w:multiLevelType w:val="hybridMultilevel"/>
    <w:tmpl w:val="FB64F42A"/>
    <w:lvl w:ilvl="0" w:tplc="0B3410FC">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136DF1"/>
    <w:multiLevelType w:val="hybridMultilevel"/>
    <w:tmpl w:val="FE8840A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F65169F"/>
    <w:multiLevelType w:val="hybridMultilevel"/>
    <w:tmpl w:val="F376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56780"/>
    <w:multiLevelType w:val="hybridMultilevel"/>
    <w:tmpl w:val="E9201BD4"/>
    <w:lvl w:ilvl="0" w:tplc="6F9640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C78E5"/>
    <w:multiLevelType w:val="multilevel"/>
    <w:tmpl w:val="E9201B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323"/>
    <w:rsid w:val="00003361"/>
    <w:rsid w:val="00005CD2"/>
    <w:rsid w:val="00016BA4"/>
    <w:rsid w:val="000439E2"/>
    <w:rsid w:val="000572AD"/>
    <w:rsid w:val="000656FD"/>
    <w:rsid w:val="000765B7"/>
    <w:rsid w:val="00077A59"/>
    <w:rsid w:val="000952E4"/>
    <w:rsid w:val="000B09C3"/>
    <w:rsid w:val="000B5537"/>
    <w:rsid w:val="000B7280"/>
    <w:rsid w:val="000C3181"/>
    <w:rsid w:val="000E422E"/>
    <w:rsid w:val="000F70EC"/>
    <w:rsid w:val="00103C8C"/>
    <w:rsid w:val="00105024"/>
    <w:rsid w:val="00112A8B"/>
    <w:rsid w:val="00114A7A"/>
    <w:rsid w:val="00121609"/>
    <w:rsid w:val="00122172"/>
    <w:rsid w:val="00125736"/>
    <w:rsid w:val="001278DD"/>
    <w:rsid w:val="00130ABA"/>
    <w:rsid w:val="00134394"/>
    <w:rsid w:val="0013578D"/>
    <w:rsid w:val="00135802"/>
    <w:rsid w:val="001501B8"/>
    <w:rsid w:val="00161E51"/>
    <w:rsid w:val="00162F1C"/>
    <w:rsid w:val="00166B39"/>
    <w:rsid w:val="0018159B"/>
    <w:rsid w:val="001A1208"/>
    <w:rsid w:val="001A2BB9"/>
    <w:rsid w:val="001D49C0"/>
    <w:rsid w:val="001D7185"/>
    <w:rsid w:val="001E18BC"/>
    <w:rsid w:val="001F0CF7"/>
    <w:rsid w:val="001F6824"/>
    <w:rsid w:val="00200031"/>
    <w:rsid w:val="00216984"/>
    <w:rsid w:val="00223617"/>
    <w:rsid w:val="00230B73"/>
    <w:rsid w:val="00233ED3"/>
    <w:rsid w:val="00234EE0"/>
    <w:rsid w:val="002430D9"/>
    <w:rsid w:val="0024580E"/>
    <w:rsid w:val="00246F4D"/>
    <w:rsid w:val="00257F60"/>
    <w:rsid w:val="00272594"/>
    <w:rsid w:val="00275C80"/>
    <w:rsid w:val="002918B9"/>
    <w:rsid w:val="00291D5F"/>
    <w:rsid w:val="002938B7"/>
    <w:rsid w:val="002A009D"/>
    <w:rsid w:val="002A0613"/>
    <w:rsid w:val="002A07B3"/>
    <w:rsid w:val="002A53E1"/>
    <w:rsid w:val="002A54E6"/>
    <w:rsid w:val="002A5B1E"/>
    <w:rsid w:val="002C13B9"/>
    <w:rsid w:val="002C4285"/>
    <w:rsid w:val="002F448B"/>
    <w:rsid w:val="002F5721"/>
    <w:rsid w:val="003023D5"/>
    <w:rsid w:val="00304765"/>
    <w:rsid w:val="0030516D"/>
    <w:rsid w:val="00323478"/>
    <w:rsid w:val="00331973"/>
    <w:rsid w:val="0033774C"/>
    <w:rsid w:val="003444D6"/>
    <w:rsid w:val="003456B6"/>
    <w:rsid w:val="00360608"/>
    <w:rsid w:val="00370DCA"/>
    <w:rsid w:val="00381CD0"/>
    <w:rsid w:val="0038569D"/>
    <w:rsid w:val="003A29B4"/>
    <w:rsid w:val="003A4B1D"/>
    <w:rsid w:val="003B00C3"/>
    <w:rsid w:val="003B7B6B"/>
    <w:rsid w:val="003C3AD2"/>
    <w:rsid w:val="003D0B1D"/>
    <w:rsid w:val="003D181A"/>
    <w:rsid w:val="003E336C"/>
    <w:rsid w:val="003E7185"/>
    <w:rsid w:val="003F0D26"/>
    <w:rsid w:val="003F18C3"/>
    <w:rsid w:val="004000AF"/>
    <w:rsid w:val="00402D69"/>
    <w:rsid w:val="00406499"/>
    <w:rsid w:val="00414095"/>
    <w:rsid w:val="0041444D"/>
    <w:rsid w:val="0042626A"/>
    <w:rsid w:val="0043197C"/>
    <w:rsid w:val="00443FC9"/>
    <w:rsid w:val="00452797"/>
    <w:rsid w:val="004562E2"/>
    <w:rsid w:val="00456BEC"/>
    <w:rsid w:val="004657B1"/>
    <w:rsid w:val="00486DA6"/>
    <w:rsid w:val="004A2B36"/>
    <w:rsid w:val="004A2B6A"/>
    <w:rsid w:val="004C1467"/>
    <w:rsid w:val="004F4228"/>
    <w:rsid w:val="004F5680"/>
    <w:rsid w:val="0050208B"/>
    <w:rsid w:val="00504253"/>
    <w:rsid w:val="0051015E"/>
    <w:rsid w:val="005113DA"/>
    <w:rsid w:val="005155F0"/>
    <w:rsid w:val="005248F1"/>
    <w:rsid w:val="00524957"/>
    <w:rsid w:val="005255C9"/>
    <w:rsid w:val="005325EF"/>
    <w:rsid w:val="00546ED3"/>
    <w:rsid w:val="00550248"/>
    <w:rsid w:val="0055562B"/>
    <w:rsid w:val="00555769"/>
    <w:rsid w:val="005870AD"/>
    <w:rsid w:val="005A0841"/>
    <w:rsid w:val="005A2A19"/>
    <w:rsid w:val="005C003E"/>
    <w:rsid w:val="005C0207"/>
    <w:rsid w:val="005C3110"/>
    <w:rsid w:val="005E1664"/>
    <w:rsid w:val="006022EF"/>
    <w:rsid w:val="006126E1"/>
    <w:rsid w:val="00623B0F"/>
    <w:rsid w:val="00640754"/>
    <w:rsid w:val="00666A92"/>
    <w:rsid w:val="0067120E"/>
    <w:rsid w:val="0067386F"/>
    <w:rsid w:val="0068521F"/>
    <w:rsid w:val="006865E5"/>
    <w:rsid w:val="00687D2C"/>
    <w:rsid w:val="006B48E7"/>
    <w:rsid w:val="006D0E45"/>
    <w:rsid w:val="006D1E79"/>
    <w:rsid w:val="006F113B"/>
    <w:rsid w:val="00702878"/>
    <w:rsid w:val="00710224"/>
    <w:rsid w:val="00712781"/>
    <w:rsid w:val="007168F2"/>
    <w:rsid w:val="00722937"/>
    <w:rsid w:val="00736335"/>
    <w:rsid w:val="00741D8E"/>
    <w:rsid w:val="0074748E"/>
    <w:rsid w:val="00764630"/>
    <w:rsid w:val="00787C12"/>
    <w:rsid w:val="007A21F9"/>
    <w:rsid w:val="007A3385"/>
    <w:rsid w:val="007C0148"/>
    <w:rsid w:val="007C5796"/>
    <w:rsid w:val="007E6EE5"/>
    <w:rsid w:val="007E7D55"/>
    <w:rsid w:val="007F4E56"/>
    <w:rsid w:val="007F59C2"/>
    <w:rsid w:val="0080731D"/>
    <w:rsid w:val="00832B02"/>
    <w:rsid w:val="00835CCB"/>
    <w:rsid w:val="008438D3"/>
    <w:rsid w:val="00847E85"/>
    <w:rsid w:val="00860F1C"/>
    <w:rsid w:val="008652CB"/>
    <w:rsid w:val="00870B0B"/>
    <w:rsid w:val="00873277"/>
    <w:rsid w:val="008822FC"/>
    <w:rsid w:val="00886146"/>
    <w:rsid w:val="008910DE"/>
    <w:rsid w:val="0089388E"/>
    <w:rsid w:val="008B3EF4"/>
    <w:rsid w:val="008C08A2"/>
    <w:rsid w:val="008D2122"/>
    <w:rsid w:val="008E5367"/>
    <w:rsid w:val="008E7D2C"/>
    <w:rsid w:val="008F1BE9"/>
    <w:rsid w:val="009130A7"/>
    <w:rsid w:val="00922981"/>
    <w:rsid w:val="00925B31"/>
    <w:rsid w:val="00927787"/>
    <w:rsid w:val="00933C29"/>
    <w:rsid w:val="009418F6"/>
    <w:rsid w:val="00951B3B"/>
    <w:rsid w:val="00964AB5"/>
    <w:rsid w:val="00970133"/>
    <w:rsid w:val="0097068A"/>
    <w:rsid w:val="00985343"/>
    <w:rsid w:val="00986D5C"/>
    <w:rsid w:val="009A2931"/>
    <w:rsid w:val="009A4D8F"/>
    <w:rsid w:val="009B2BF1"/>
    <w:rsid w:val="009B412D"/>
    <w:rsid w:val="009B4BB5"/>
    <w:rsid w:val="009C58F2"/>
    <w:rsid w:val="009D5566"/>
    <w:rsid w:val="009E00B5"/>
    <w:rsid w:val="009E21F0"/>
    <w:rsid w:val="009E455F"/>
    <w:rsid w:val="009E75A1"/>
    <w:rsid w:val="009F2B2E"/>
    <w:rsid w:val="009F3982"/>
    <w:rsid w:val="009F766D"/>
    <w:rsid w:val="00A02B76"/>
    <w:rsid w:val="00A10D90"/>
    <w:rsid w:val="00A3414E"/>
    <w:rsid w:val="00A35538"/>
    <w:rsid w:val="00A41D69"/>
    <w:rsid w:val="00A42166"/>
    <w:rsid w:val="00A61F6F"/>
    <w:rsid w:val="00A626C9"/>
    <w:rsid w:val="00A73530"/>
    <w:rsid w:val="00A9592E"/>
    <w:rsid w:val="00AA2077"/>
    <w:rsid w:val="00AC4A6F"/>
    <w:rsid w:val="00AC6A41"/>
    <w:rsid w:val="00AD44E0"/>
    <w:rsid w:val="00AD6C33"/>
    <w:rsid w:val="00AE2466"/>
    <w:rsid w:val="00AE2D91"/>
    <w:rsid w:val="00B1212D"/>
    <w:rsid w:val="00B16B81"/>
    <w:rsid w:val="00B30541"/>
    <w:rsid w:val="00B42FCE"/>
    <w:rsid w:val="00B45826"/>
    <w:rsid w:val="00B464A4"/>
    <w:rsid w:val="00B509D2"/>
    <w:rsid w:val="00B50F77"/>
    <w:rsid w:val="00B612CE"/>
    <w:rsid w:val="00B61654"/>
    <w:rsid w:val="00B62286"/>
    <w:rsid w:val="00B63DA4"/>
    <w:rsid w:val="00B71859"/>
    <w:rsid w:val="00B77513"/>
    <w:rsid w:val="00B81569"/>
    <w:rsid w:val="00B960D4"/>
    <w:rsid w:val="00BA034E"/>
    <w:rsid w:val="00BB4CDA"/>
    <w:rsid w:val="00BF045E"/>
    <w:rsid w:val="00BF47F0"/>
    <w:rsid w:val="00BF5FF8"/>
    <w:rsid w:val="00C0588E"/>
    <w:rsid w:val="00C1183C"/>
    <w:rsid w:val="00C36EEE"/>
    <w:rsid w:val="00C43B6E"/>
    <w:rsid w:val="00C462CD"/>
    <w:rsid w:val="00C524B6"/>
    <w:rsid w:val="00C54AA6"/>
    <w:rsid w:val="00C74A60"/>
    <w:rsid w:val="00C82482"/>
    <w:rsid w:val="00C87E0E"/>
    <w:rsid w:val="00CC21E5"/>
    <w:rsid w:val="00CD13BA"/>
    <w:rsid w:val="00CD42B6"/>
    <w:rsid w:val="00CF14F4"/>
    <w:rsid w:val="00D00802"/>
    <w:rsid w:val="00D05759"/>
    <w:rsid w:val="00D23323"/>
    <w:rsid w:val="00D3269A"/>
    <w:rsid w:val="00D40107"/>
    <w:rsid w:val="00D41929"/>
    <w:rsid w:val="00D819B5"/>
    <w:rsid w:val="00D900C0"/>
    <w:rsid w:val="00D92E99"/>
    <w:rsid w:val="00DA7CFC"/>
    <w:rsid w:val="00DB50BA"/>
    <w:rsid w:val="00DC114C"/>
    <w:rsid w:val="00DC160D"/>
    <w:rsid w:val="00DE5EB5"/>
    <w:rsid w:val="00DF12C8"/>
    <w:rsid w:val="00DF29E6"/>
    <w:rsid w:val="00E05C21"/>
    <w:rsid w:val="00E071E5"/>
    <w:rsid w:val="00E111B9"/>
    <w:rsid w:val="00E20638"/>
    <w:rsid w:val="00E23600"/>
    <w:rsid w:val="00E35272"/>
    <w:rsid w:val="00E50E23"/>
    <w:rsid w:val="00E51F2F"/>
    <w:rsid w:val="00E60818"/>
    <w:rsid w:val="00E675D6"/>
    <w:rsid w:val="00E868D0"/>
    <w:rsid w:val="00E90E7C"/>
    <w:rsid w:val="00EA3F1E"/>
    <w:rsid w:val="00EA4D1B"/>
    <w:rsid w:val="00EB5F58"/>
    <w:rsid w:val="00ED0255"/>
    <w:rsid w:val="00EE2A14"/>
    <w:rsid w:val="00EF5182"/>
    <w:rsid w:val="00EF5800"/>
    <w:rsid w:val="00EF599D"/>
    <w:rsid w:val="00F00A68"/>
    <w:rsid w:val="00F05617"/>
    <w:rsid w:val="00F12A75"/>
    <w:rsid w:val="00F14F87"/>
    <w:rsid w:val="00F43B24"/>
    <w:rsid w:val="00F447E1"/>
    <w:rsid w:val="00F50060"/>
    <w:rsid w:val="00F52ECC"/>
    <w:rsid w:val="00F54448"/>
    <w:rsid w:val="00F73976"/>
    <w:rsid w:val="00F813E0"/>
    <w:rsid w:val="00F97791"/>
    <w:rsid w:val="00FB0F50"/>
    <w:rsid w:val="00FB2F5A"/>
    <w:rsid w:val="00FC390D"/>
    <w:rsid w:val="00FD1B0E"/>
    <w:rsid w:val="00FD1EE1"/>
    <w:rsid w:val="00FD5525"/>
    <w:rsid w:val="00FD65F9"/>
    <w:rsid w:val="00FE28D8"/>
    <w:rsid w:val="00FE5009"/>
    <w:rsid w:val="00FE76AB"/>
    <w:rsid w:val="00FF29B6"/>
    <w:rsid w:val="00FF487C"/>
    <w:rsid w:val="00FF5CAD"/>
    <w:rsid w:val="00FF62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A4ED"/>
  <w15:docId w15:val="{25C2F4C3-7B60-564D-A0ED-F26404B2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736"/>
    <w:rPr>
      <w:rFonts w:ascii="Times New Roman" w:hAnsi="Times New Roman" w:cs="Times New Roman"/>
      <w:lang w:val="en-GB" w:eastAsia="ja-JP"/>
    </w:rPr>
  </w:style>
  <w:style w:type="paragraph" w:styleId="Heading1">
    <w:name w:val="heading 1"/>
    <w:basedOn w:val="Normal"/>
    <w:link w:val="Heading1Char"/>
    <w:uiPriority w:val="9"/>
    <w:qFormat/>
    <w:rsid w:val="001501B8"/>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uiPriority w:val="9"/>
    <w:semiHidden/>
    <w:unhideWhenUsed/>
    <w:qFormat/>
    <w:rsid w:val="0072293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22937"/>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semiHidden/>
    <w:unhideWhenUsed/>
    <w:qFormat/>
    <w:rsid w:val="00FC390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F688B"/>
    <w:rPr>
      <w:rFonts w:ascii="Lucida Grande" w:hAnsi="Lucida Grande"/>
      <w:sz w:val="18"/>
      <w:szCs w:val="18"/>
    </w:rPr>
  </w:style>
  <w:style w:type="character" w:customStyle="1" w:styleId="BalloonTextChar">
    <w:name w:val="Balloon Text Char"/>
    <w:basedOn w:val="DefaultParagraphFont"/>
    <w:uiPriority w:val="99"/>
    <w:semiHidden/>
    <w:rsid w:val="00F04955"/>
    <w:rPr>
      <w:rFonts w:ascii="Lucida Grande" w:hAnsi="Lucida Grande"/>
      <w:sz w:val="18"/>
      <w:szCs w:val="18"/>
    </w:rPr>
  </w:style>
  <w:style w:type="character" w:customStyle="1" w:styleId="BalloonTextChar0">
    <w:name w:val="Balloon Text Char"/>
    <w:basedOn w:val="DefaultParagraphFont"/>
    <w:uiPriority w:val="99"/>
    <w:semiHidden/>
    <w:rsid w:val="00F0495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F688B"/>
    <w:rPr>
      <w:rFonts w:ascii="Lucida Grande" w:hAnsi="Lucida Grande"/>
      <w:sz w:val="18"/>
      <w:szCs w:val="18"/>
    </w:rPr>
  </w:style>
  <w:style w:type="paragraph" w:customStyle="1" w:styleId="Style1">
    <w:name w:val="Style1"/>
    <w:basedOn w:val="FootnoteText"/>
    <w:autoRedefine/>
    <w:qFormat/>
    <w:rsid w:val="00E111B9"/>
    <w:rPr>
      <w:rFonts w:eastAsiaTheme="minorEastAsia"/>
      <w:sz w:val="18"/>
      <w:szCs w:val="18"/>
    </w:rPr>
  </w:style>
  <w:style w:type="paragraph" w:styleId="FootnoteText">
    <w:name w:val="footnote text"/>
    <w:aliases w:val="Footnote reference,FA Fu,Footnote Text Char Char Char Char Char,Footnote Text Char Char Char Char,Footnote Text Char Char Char,single space,ft,5_G"/>
    <w:basedOn w:val="Normal"/>
    <w:link w:val="FootnoteTextChar"/>
    <w:unhideWhenUsed/>
    <w:rsid w:val="00E111B9"/>
  </w:style>
  <w:style w:type="character" w:customStyle="1" w:styleId="FootnoteTextChar">
    <w:name w:val="Footnote Text Char"/>
    <w:aliases w:val="Footnote reference Char,FA Fu Char,Footnote Text Char Char Char Char Char Char,Footnote Text Char Char Char Char Char1,Footnote Text Char Char Char Char1,single space Char,ft Char,5_G Char"/>
    <w:basedOn w:val="DefaultParagraphFont"/>
    <w:link w:val="FootnoteText"/>
    <w:rsid w:val="00E111B9"/>
  </w:style>
  <w:style w:type="paragraph" w:styleId="Header">
    <w:name w:val="header"/>
    <w:basedOn w:val="Normal"/>
    <w:link w:val="HeaderChar"/>
    <w:uiPriority w:val="99"/>
    <w:unhideWhenUsed/>
    <w:rsid w:val="00D23323"/>
    <w:pPr>
      <w:tabs>
        <w:tab w:val="center" w:pos="4680"/>
        <w:tab w:val="right" w:pos="9360"/>
      </w:tabs>
    </w:pPr>
  </w:style>
  <w:style w:type="character" w:customStyle="1" w:styleId="HeaderChar">
    <w:name w:val="Header Char"/>
    <w:basedOn w:val="DefaultParagraphFont"/>
    <w:link w:val="Header"/>
    <w:uiPriority w:val="99"/>
    <w:rsid w:val="00D23323"/>
    <w:rPr>
      <w:rFonts w:ascii="Times New Roman" w:eastAsia="Times New Roman" w:hAnsi="Times New Roman" w:cs="Times New Roman"/>
      <w:szCs w:val="20"/>
      <w:lang w:val="en-GB"/>
    </w:rPr>
  </w:style>
  <w:style w:type="paragraph" w:styleId="Footer">
    <w:name w:val="footer"/>
    <w:basedOn w:val="Normal"/>
    <w:link w:val="FooterChar"/>
    <w:unhideWhenUsed/>
    <w:rsid w:val="00D23323"/>
    <w:pPr>
      <w:tabs>
        <w:tab w:val="center" w:pos="4680"/>
        <w:tab w:val="right" w:pos="9360"/>
      </w:tabs>
    </w:pPr>
  </w:style>
  <w:style w:type="character" w:customStyle="1" w:styleId="FooterChar">
    <w:name w:val="Footer Char"/>
    <w:basedOn w:val="DefaultParagraphFont"/>
    <w:link w:val="Footer"/>
    <w:uiPriority w:val="99"/>
    <w:rsid w:val="00D23323"/>
    <w:rPr>
      <w:rFonts w:ascii="Times New Roman" w:eastAsia="Times New Roman" w:hAnsi="Times New Roman" w:cs="Times New Roman"/>
      <w:szCs w:val="20"/>
      <w:lang w:val="en-GB"/>
    </w:rPr>
  </w:style>
  <w:style w:type="character" w:styleId="FootnoteReference">
    <w:name w:val="footnote reference"/>
    <w:aliases w:val="4_G,ftref"/>
    <w:basedOn w:val="DefaultParagraphFont"/>
    <w:unhideWhenUsed/>
    <w:rsid w:val="00233ED3"/>
    <w:rPr>
      <w:vertAlign w:val="superscript"/>
    </w:rPr>
  </w:style>
  <w:style w:type="paragraph" w:customStyle="1" w:styleId="p1">
    <w:name w:val="p1"/>
    <w:basedOn w:val="Normal"/>
    <w:rsid w:val="00233ED3"/>
    <w:rPr>
      <w:rFonts w:ascii="Helvetica" w:hAnsi="Helvetica"/>
      <w:sz w:val="15"/>
      <w:szCs w:val="15"/>
      <w:lang w:val="en-US"/>
    </w:rPr>
  </w:style>
  <w:style w:type="character" w:customStyle="1" w:styleId="s1">
    <w:name w:val="s1"/>
    <w:basedOn w:val="DefaultParagraphFont"/>
    <w:rsid w:val="00233ED3"/>
    <w:rPr>
      <w:rFonts w:ascii="Helvetica" w:hAnsi="Helvetica" w:hint="default"/>
      <w:sz w:val="10"/>
      <w:szCs w:val="10"/>
    </w:rPr>
  </w:style>
  <w:style w:type="character" w:customStyle="1" w:styleId="apple-converted-space">
    <w:name w:val="apple-converted-space"/>
    <w:basedOn w:val="DefaultParagraphFont"/>
    <w:rsid w:val="00233ED3"/>
  </w:style>
  <w:style w:type="character" w:styleId="Hyperlink">
    <w:name w:val="Hyperlink"/>
    <w:basedOn w:val="DefaultParagraphFont"/>
    <w:uiPriority w:val="99"/>
    <w:unhideWhenUsed/>
    <w:rsid w:val="00233ED3"/>
    <w:rPr>
      <w:color w:val="0563C1" w:themeColor="hyperlink"/>
      <w:u w:val="single"/>
    </w:rPr>
  </w:style>
  <w:style w:type="paragraph" w:styleId="Quote">
    <w:name w:val="Quote"/>
    <w:basedOn w:val="Normal"/>
    <w:next w:val="Normal"/>
    <w:link w:val="QuoteChar"/>
    <w:uiPriority w:val="29"/>
    <w:qFormat/>
    <w:rsid w:val="00C058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588E"/>
    <w:rPr>
      <w:rFonts w:ascii="Times New Roman" w:eastAsia="Times New Roman" w:hAnsi="Times New Roman" w:cs="Times New Roman"/>
      <w:i/>
      <w:iCs/>
      <w:color w:val="404040" w:themeColor="text1" w:themeTint="BF"/>
      <w:szCs w:val="20"/>
      <w:lang w:val="en-GB"/>
    </w:rPr>
  </w:style>
  <w:style w:type="paragraph" w:customStyle="1" w:styleId="c-article-bodytext">
    <w:name w:val="c-article-body__text"/>
    <w:basedOn w:val="Normal"/>
    <w:rsid w:val="0024580E"/>
    <w:pPr>
      <w:spacing w:before="100" w:beforeAutospacing="1" w:after="100" w:afterAutospacing="1"/>
    </w:pPr>
    <w:rPr>
      <w:lang w:val="en-US"/>
    </w:rPr>
  </w:style>
  <w:style w:type="character" w:customStyle="1" w:styleId="FootnoteReference1">
    <w:name w:val="Footnote Reference1"/>
    <w:rsid w:val="00F813E0"/>
    <w:rPr>
      <w:color w:val="000000"/>
      <w:sz w:val="24"/>
      <w:vertAlign w:val="superscript"/>
    </w:rPr>
  </w:style>
  <w:style w:type="paragraph" w:customStyle="1" w:styleId="FootnoteText1">
    <w:name w:val="Footnote Text1"/>
    <w:rsid w:val="00F813E0"/>
    <w:rPr>
      <w:rFonts w:ascii="Times" w:eastAsia="ヒラギノ角ゴ Pro W3" w:hAnsi="Times" w:cs="Times New Roman"/>
      <w:color w:val="000000"/>
      <w:szCs w:val="20"/>
    </w:rPr>
  </w:style>
  <w:style w:type="character" w:styleId="FollowedHyperlink">
    <w:name w:val="FollowedHyperlink"/>
    <w:basedOn w:val="DefaultParagraphFont"/>
    <w:uiPriority w:val="99"/>
    <w:semiHidden/>
    <w:unhideWhenUsed/>
    <w:rsid w:val="00F813E0"/>
    <w:rPr>
      <w:color w:val="954F72" w:themeColor="followedHyperlink"/>
      <w:u w:val="single"/>
    </w:rPr>
  </w:style>
  <w:style w:type="paragraph" w:styleId="ListParagraph">
    <w:name w:val="List Paragraph"/>
    <w:basedOn w:val="Normal"/>
    <w:uiPriority w:val="34"/>
    <w:qFormat/>
    <w:rsid w:val="001D7185"/>
    <w:pPr>
      <w:ind w:left="720"/>
      <w:contextualSpacing/>
    </w:pPr>
  </w:style>
  <w:style w:type="character" w:customStyle="1" w:styleId="Heading6Char">
    <w:name w:val="Heading 6 Char"/>
    <w:basedOn w:val="DefaultParagraphFont"/>
    <w:link w:val="Heading6"/>
    <w:uiPriority w:val="9"/>
    <w:semiHidden/>
    <w:rsid w:val="00FC390D"/>
    <w:rPr>
      <w:rFonts w:asciiTheme="majorHAnsi" w:eastAsiaTheme="majorEastAsia" w:hAnsiTheme="majorHAnsi" w:cstheme="majorBidi"/>
      <w:color w:val="1F3763" w:themeColor="accent1" w:themeShade="7F"/>
      <w:lang w:eastAsia="ja-JP"/>
    </w:rPr>
  </w:style>
  <w:style w:type="character" w:customStyle="1" w:styleId="Heading1Char">
    <w:name w:val="Heading 1 Char"/>
    <w:basedOn w:val="DefaultParagraphFont"/>
    <w:link w:val="Heading1"/>
    <w:uiPriority w:val="9"/>
    <w:rsid w:val="001501B8"/>
    <w:rPr>
      <w:rFonts w:ascii="Times New Roman" w:hAnsi="Times New Roman" w:cs="Times New Roman"/>
      <w:b/>
      <w:bCs/>
      <w:kern w:val="36"/>
      <w:sz w:val="48"/>
      <w:szCs w:val="48"/>
      <w:lang w:eastAsia="ja-JP"/>
    </w:rPr>
  </w:style>
  <w:style w:type="character" w:styleId="PageNumber">
    <w:name w:val="page number"/>
    <w:basedOn w:val="DefaultParagraphFont"/>
    <w:rsid w:val="007A21F9"/>
  </w:style>
  <w:style w:type="paragraph" w:customStyle="1" w:styleId="Normal1">
    <w:name w:val="Normal1"/>
    <w:rsid w:val="00486DA6"/>
    <w:pPr>
      <w:pBdr>
        <w:top w:val="nil"/>
        <w:left w:val="nil"/>
        <w:bottom w:val="nil"/>
        <w:right w:val="nil"/>
        <w:between w:val="nil"/>
      </w:pBdr>
      <w:spacing w:line="276" w:lineRule="auto"/>
    </w:pPr>
    <w:rPr>
      <w:rFonts w:ascii="Arial" w:eastAsia="Arial" w:hAnsi="Arial" w:cs="Arial"/>
      <w:color w:val="000000"/>
      <w:sz w:val="22"/>
      <w:szCs w:val="22"/>
      <w:lang w:val="en-GB" w:eastAsia="en-CA"/>
    </w:rPr>
  </w:style>
  <w:style w:type="character" w:customStyle="1" w:styleId="Heading2Char">
    <w:name w:val="Heading 2 Char"/>
    <w:basedOn w:val="DefaultParagraphFont"/>
    <w:link w:val="Heading2"/>
    <w:uiPriority w:val="9"/>
    <w:semiHidden/>
    <w:rsid w:val="00722937"/>
    <w:rPr>
      <w:rFonts w:asciiTheme="majorHAnsi" w:eastAsiaTheme="majorEastAsia" w:hAnsiTheme="majorHAnsi" w:cstheme="majorBidi"/>
      <w:b/>
      <w:bCs/>
      <w:color w:val="4472C4" w:themeColor="accent1"/>
      <w:sz w:val="26"/>
      <w:szCs w:val="26"/>
      <w:lang w:val="en-GB" w:eastAsia="ja-JP"/>
    </w:rPr>
  </w:style>
  <w:style w:type="character" w:customStyle="1" w:styleId="Heading3Char">
    <w:name w:val="Heading 3 Char"/>
    <w:basedOn w:val="DefaultParagraphFont"/>
    <w:link w:val="Heading3"/>
    <w:uiPriority w:val="9"/>
    <w:semiHidden/>
    <w:rsid w:val="00722937"/>
    <w:rPr>
      <w:rFonts w:asciiTheme="majorHAnsi" w:eastAsiaTheme="majorEastAsia" w:hAnsiTheme="majorHAnsi" w:cstheme="majorBidi"/>
      <w:b/>
      <w:bCs/>
      <w:color w:val="4472C4" w:themeColor="accent1"/>
      <w:lang w:val="en-GB" w:eastAsia="ja-JP"/>
    </w:rPr>
  </w:style>
  <w:style w:type="character" w:styleId="Strong">
    <w:name w:val="Strong"/>
    <w:basedOn w:val="DefaultParagraphFont"/>
    <w:uiPriority w:val="22"/>
    <w:rsid w:val="00A41D69"/>
    <w:rPr>
      <w:b/>
    </w:rPr>
  </w:style>
  <w:style w:type="character" w:styleId="Emphasis">
    <w:name w:val="Emphasis"/>
    <w:basedOn w:val="DefaultParagraphFont"/>
    <w:uiPriority w:val="20"/>
    <w:rsid w:val="00A41D6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3186">
      <w:bodyDiv w:val="1"/>
      <w:marLeft w:val="0"/>
      <w:marRight w:val="0"/>
      <w:marTop w:val="0"/>
      <w:marBottom w:val="0"/>
      <w:divBdr>
        <w:top w:val="none" w:sz="0" w:space="0" w:color="auto"/>
        <w:left w:val="none" w:sz="0" w:space="0" w:color="auto"/>
        <w:bottom w:val="none" w:sz="0" w:space="0" w:color="auto"/>
        <w:right w:val="none" w:sz="0" w:space="0" w:color="auto"/>
      </w:divBdr>
    </w:div>
    <w:div w:id="195583797">
      <w:bodyDiv w:val="1"/>
      <w:marLeft w:val="0"/>
      <w:marRight w:val="0"/>
      <w:marTop w:val="0"/>
      <w:marBottom w:val="0"/>
      <w:divBdr>
        <w:top w:val="none" w:sz="0" w:space="0" w:color="auto"/>
        <w:left w:val="none" w:sz="0" w:space="0" w:color="auto"/>
        <w:bottom w:val="none" w:sz="0" w:space="0" w:color="auto"/>
        <w:right w:val="none" w:sz="0" w:space="0" w:color="auto"/>
      </w:divBdr>
    </w:div>
    <w:div w:id="221524574">
      <w:bodyDiv w:val="1"/>
      <w:marLeft w:val="0"/>
      <w:marRight w:val="0"/>
      <w:marTop w:val="0"/>
      <w:marBottom w:val="0"/>
      <w:divBdr>
        <w:top w:val="none" w:sz="0" w:space="0" w:color="auto"/>
        <w:left w:val="none" w:sz="0" w:space="0" w:color="auto"/>
        <w:bottom w:val="none" w:sz="0" w:space="0" w:color="auto"/>
        <w:right w:val="none" w:sz="0" w:space="0" w:color="auto"/>
      </w:divBdr>
    </w:div>
    <w:div w:id="226645214">
      <w:bodyDiv w:val="1"/>
      <w:marLeft w:val="0"/>
      <w:marRight w:val="0"/>
      <w:marTop w:val="0"/>
      <w:marBottom w:val="0"/>
      <w:divBdr>
        <w:top w:val="none" w:sz="0" w:space="0" w:color="auto"/>
        <w:left w:val="none" w:sz="0" w:space="0" w:color="auto"/>
        <w:bottom w:val="none" w:sz="0" w:space="0" w:color="auto"/>
        <w:right w:val="none" w:sz="0" w:space="0" w:color="auto"/>
      </w:divBdr>
    </w:div>
    <w:div w:id="351538421">
      <w:bodyDiv w:val="1"/>
      <w:marLeft w:val="0"/>
      <w:marRight w:val="0"/>
      <w:marTop w:val="0"/>
      <w:marBottom w:val="0"/>
      <w:divBdr>
        <w:top w:val="none" w:sz="0" w:space="0" w:color="auto"/>
        <w:left w:val="none" w:sz="0" w:space="0" w:color="auto"/>
        <w:bottom w:val="none" w:sz="0" w:space="0" w:color="auto"/>
        <w:right w:val="none" w:sz="0" w:space="0" w:color="auto"/>
      </w:divBdr>
    </w:div>
    <w:div w:id="358699786">
      <w:bodyDiv w:val="1"/>
      <w:marLeft w:val="0"/>
      <w:marRight w:val="0"/>
      <w:marTop w:val="0"/>
      <w:marBottom w:val="0"/>
      <w:divBdr>
        <w:top w:val="none" w:sz="0" w:space="0" w:color="auto"/>
        <w:left w:val="none" w:sz="0" w:space="0" w:color="auto"/>
        <w:bottom w:val="none" w:sz="0" w:space="0" w:color="auto"/>
        <w:right w:val="none" w:sz="0" w:space="0" w:color="auto"/>
      </w:divBdr>
    </w:div>
    <w:div w:id="370035416">
      <w:bodyDiv w:val="1"/>
      <w:marLeft w:val="0"/>
      <w:marRight w:val="0"/>
      <w:marTop w:val="0"/>
      <w:marBottom w:val="0"/>
      <w:divBdr>
        <w:top w:val="none" w:sz="0" w:space="0" w:color="auto"/>
        <w:left w:val="none" w:sz="0" w:space="0" w:color="auto"/>
        <w:bottom w:val="none" w:sz="0" w:space="0" w:color="auto"/>
        <w:right w:val="none" w:sz="0" w:space="0" w:color="auto"/>
      </w:divBdr>
    </w:div>
    <w:div w:id="451171386">
      <w:bodyDiv w:val="1"/>
      <w:marLeft w:val="0"/>
      <w:marRight w:val="0"/>
      <w:marTop w:val="0"/>
      <w:marBottom w:val="0"/>
      <w:divBdr>
        <w:top w:val="none" w:sz="0" w:space="0" w:color="auto"/>
        <w:left w:val="none" w:sz="0" w:space="0" w:color="auto"/>
        <w:bottom w:val="none" w:sz="0" w:space="0" w:color="auto"/>
        <w:right w:val="none" w:sz="0" w:space="0" w:color="auto"/>
      </w:divBdr>
    </w:div>
    <w:div w:id="476343951">
      <w:bodyDiv w:val="1"/>
      <w:marLeft w:val="0"/>
      <w:marRight w:val="0"/>
      <w:marTop w:val="0"/>
      <w:marBottom w:val="0"/>
      <w:divBdr>
        <w:top w:val="none" w:sz="0" w:space="0" w:color="auto"/>
        <w:left w:val="none" w:sz="0" w:space="0" w:color="auto"/>
        <w:bottom w:val="none" w:sz="0" w:space="0" w:color="auto"/>
        <w:right w:val="none" w:sz="0" w:space="0" w:color="auto"/>
      </w:divBdr>
    </w:div>
    <w:div w:id="560798876">
      <w:bodyDiv w:val="1"/>
      <w:marLeft w:val="0"/>
      <w:marRight w:val="0"/>
      <w:marTop w:val="0"/>
      <w:marBottom w:val="0"/>
      <w:divBdr>
        <w:top w:val="none" w:sz="0" w:space="0" w:color="auto"/>
        <w:left w:val="none" w:sz="0" w:space="0" w:color="auto"/>
        <w:bottom w:val="none" w:sz="0" w:space="0" w:color="auto"/>
        <w:right w:val="none" w:sz="0" w:space="0" w:color="auto"/>
      </w:divBdr>
    </w:div>
    <w:div w:id="565460968">
      <w:bodyDiv w:val="1"/>
      <w:marLeft w:val="0"/>
      <w:marRight w:val="0"/>
      <w:marTop w:val="0"/>
      <w:marBottom w:val="0"/>
      <w:divBdr>
        <w:top w:val="none" w:sz="0" w:space="0" w:color="auto"/>
        <w:left w:val="none" w:sz="0" w:space="0" w:color="auto"/>
        <w:bottom w:val="none" w:sz="0" w:space="0" w:color="auto"/>
        <w:right w:val="none" w:sz="0" w:space="0" w:color="auto"/>
      </w:divBdr>
    </w:div>
    <w:div w:id="600334424">
      <w:bodyDiv w:val="1"/>
      <w:marLeft w:val="0"/>
      <w:marRight w:val="0"/>
      <w:marTop w:val="0"/>
      <w:marBottom w:val="0"/>
      <w:divBdr>
        <w:top w:val="none" w:sz="0" w:space="0" w:color="auto"/>
        <w:left w:val="none" w:sz="0" w:space="0" w:color="auto"/>
        <w:bottom w:val="none" w:sz="0" w:space="0" w:color="auto"/>
        <w:right w:val="none" w:sz="0" w:space="0" w:color="auto"/>
      </w:divBdr>
    </w:div>
    <w:div w:id="625432121">
      <w:bodyDiv w:val="1"/>
      <w:marLeft w:val="0"/>
      <w:marRight w:val="0"/>
      <w:marTop w:val="0"/>
      <w:marBottom w:val="0"/>
      <w:divBdr>
        <w:top w:val="none" w:sz="0" w:space="0" w:color="auto"/>
        <w:left w:val="none" w:sz="0" w:space="0" w:color="auto"/>
        <w:bottom w:val="none" w:sz="0" w:space="0" w:color="auto"/>
        <w:right w:val="none" w:sz="0" w:space="0" w:color="auto"/>
      </w:divBdr>
    </w:div>
    <w:div w:id="628053667">
      <w:bodyDiv w:val="1"/>
      <w:marLeft w:val="0"/>
      <w:marRight w:val="0"/>
      <w:marTop w:val="0"/>
      <w:marBottom w:val="0"/>
      <w:divBdr>
        <w:top w:val="none" w:sz="0" w:space="0" w:color="auto"/>
        <w:left w:val="none" w:sz="0" w:space="0" w:color="auto"/>
        <w:bottom w:val="none" w:sz="0" w:space="0" w:color="auto"/>
        <w:right w:val="none" w:sz="0" w:space="0" w:color="auto"/>
      </w:divBdr>
    </w:div>
    <w:div w:id="656038306">
      <w:bodyDiv w:val="1"/>
      <w:marLeft w:val="0"/>
      <w:marRight w:val="0"/>
      <w:marTop w:val="0"/>
      <w:marBottom w:val="0"/>
      <w:divBdr>
        <w:top w:val="none" w:sz="0" w:space="0" w:color="auto"/>
        <w:left w:val="none" w:sz="0" w:space="0" w:color="auto"/>
        <w:bottom w:val="none" w:sz="0" w:space="0" w:color="auto"/>
        <w:right w:val="none" w:sz="0" w:space="0" w:color="auto"/>
      </w:divBdr>
    </w:div>
    <w:div w:id="697126772">
      <w:bodyDiv w:val="1"/>
      <w:marLeft w:val="0"/>
      <w:marRight w:val="0"/>
      <w:marTop w:val="0"/>
      <w:marBottom w:val="0"/>
      <w:divBdr>
        <w:top w:val="none" w:sz="0" w:space="0" w:color="auto"/>
        <w:left w:val="none" w:sz="0" w:space="0" w:color="auto"/>
        <w:bottom w:val="none" w:sz="0" w:space="0" w:color="auto"/>
        <w:right w:val="none" w:sz="0" w:space="0" w:color="auto"/>
      </w:divBdr>
    </w:div>
    <w:div w:id="760487129">
      <w:bodyDiv w:val="1"/>
      <w:marLeft w:val="0"/>
      <w:marRight w:val="0"/>
      <w:marTop w:val="0"/>
      <w:marBottom w:val="0"/>
      <w:divBdr>
        <w:top w:val="none" w:sz="0" w:space="0" w:color="auto"/>
        <w:left w:val="none" w:sz="0" w:space="0" w:color="auto"/>
        <w:bottom w:val="none" w:sz="0" w:space="0" w:color="auto"/>
        <w:right w:val="none" w:sz="0" w:space="0" w:color="auto"/>
      </w:divBdr>
    </w:div>
    <w:div w:id="767773578">
      <w:bodyDiv w:val="1"/>
      <w:marLeft w:val="0"/>
      <w:marRight w:val="0"/>
      <w:marTop w:val="0"/>
      <w:marBottom w:val="0"/>
      <w:divBdr>
        <w:top w:val="none" w:sz="0" w:space="0" w:color="auto"/>
        <w:left w:val="none" w:sz="0" w:space="0" w:color="auto"/>
        <w:bottom w:val="none" w:sz="0" w:space="0" w:color="auto"/>
        <w:right w:val="none" w:sz="0" w:space="0" w:color="auto"/>
      </w:divBdr>
    </w:div>
    <w:div w:id="770705502">
      <w:bodyDiv w:val="1"/>
      <w:marLeft w:val="0"/>
      <w:marRight w:val="0"/>
      <w:marTop w:val="0"/>
      <w:marBottom w:val="0"/>
      <w:divBdr>
        <w:top w:val="none" w:sz="0" w:space="0" w:color="auto"/>
        <w:left w:val="none" w:sz="0" w:space="0" w:color="auto"/>
        <w:bottom w:val="none" w:sz="0" w:space="0" w:color="auto"/>
        <w:right w:val="none" w:sz="0" w:space="0" w:color="auto"/>
      </w:divBdr>
    </w:div>
    <w:div w:id="775750513">
      <w:bodyDiv w:val="1"/>
      <w:marLeft w:val="0"/>
      <w:marRight w:val="0"/>
      <w:marTop w:val="0"/>
      <w:marBottom w:val="0"/>
      <w:divBdr>
        <w:top w:val="none" w:sz="0" w:space="0" w:color="auto"/>
        <w:left w:val="none" w:sz="0" w:space="0" w:color="auto"/>
        <w:bottom w:val="none" w:sz="0" w:space="0" w:color="auto"/>
        <w:right w:val="none" w:sz="0" w:space="0" w:color="auto"/>
      </w:divBdr>
    </w:div>
    <w:div w:id="777136423">
      <w:bodyDiv w:val="1"/>
      <w:marLeft w:val="0"/>
      <w:marRight w:val="0"/>
      <w:marTop w:val="0"/>
      <w:marBottom w:val="0"/>
      <w:divBdr>
        <w:top w:val="none" w:sz="0" w:space="0" w:color="auto"/>
        <w:left w:val="none" w:sz="0" w:space="0" w:color="auto"/>
        <w:bottom w:val="none" w:sz="0" w:space="0" w:color="auto"/>
        <w:right w:val="none" w:sz="0" w:space="0" w:color="auto"/>
      </w:divBdr>
    </w:div>
    <w:div w:id="803472483">
      <w:bodyDiv w:val="1"/>
      <w:marLeft w:val="0"/>
      <w:marRight w:val="0"/>
      <w:marTop w:val="0"/>
      <w:marBottom w:val="0"/>
      <w:divBdr>
        <w:top w:val="none" w:sz="0" w:space="0" w:color="auto"/>
        <w:left w:val="none" w:sz="0" w:space="0" w:color="auto"/>
        <w:bottom w:val="none" w:sz="0" w:space="0" w:color="auto"/>
        <w:right w:val="none" w:sz="0" w:space="0" w:color="auto"/>
      </w:divBdr>
    </w:div>
    <w:div w:id="809131048">
      <w:bodyDiv w:val="1"/>
      <w:marLeft w:val="0"/>
      <w:marRight w:val="0"/>
      <w:marTop w:val="0"/>
      <w:marBottom w:val="0"/>
      <w:divBdr>
        <w:top w:val="none" w:sz="0" w:space="0" w:color="auto"/>
        <w:left w:val="none" w:sz="0" w:space="0" w:color="auto"/>
        <w:bottom w:val="none" w:sz="0" w:space="0" w:color="auto"/>
        <w:right w:val="none" w:sz="0" w:space="0" w:color="auto"/>
      </w:divBdr>
    </w:div>
    <w:div w:id="837113179">
      <w:bodyDiv w:val="1"/>
      <w:marLeft w:val="0"/>
      <w:marRight w:val="0"/>
      <w:marTop w:val="0"/>
      <w:marBottom w:val="0"/>
      <w:divBdr>
        <w:top w:val="none" w:sz="0" w:space="0" w:color="auto"/>
        <w:left w:val="none" w:sz="0" w:space="0" w:color="auto"/>
        <w:bottom w:val="none" w:sz="0" w:space="0" w:color="auto"/>
        <w:right w:val="none" w:sz="0" w:space="0" w:color="auto"/>
      </w:divBdr>
    </w:div>
    <w:div w:id="854807886">
      <w:bodyDiv w:val="1"/>
      <w:marLeft w:val="0"/>
      <w:marRight w:val="0"/>
      <w:marTop w:val="0"/>
      <w:marBottom w:val="0"/>
      <w:divBdr>
        <w:top w:val="none" w:sz="0" w:space="0" w:color="auto"/>
        <w:left w:val="none" w:sz="0" w:space="0" w:color="auto"/>
        <w:bottom w:val="none" w:sz="0" w:space="0" w:color="auto"/>
        <w:right w:val="none" w:sz="0" w:space="0" w:color="auto"/>
      </w:divBdr>
    </w:div>
    <w:div w:id="939214041">
      <w:bodyDiv w:val="1"/>
      <w:marLeft w:val="0"/>
      <w:marRight w:val="0"/>
      <w:marTop w:val="0"/>
      <w:marBottom w:val="0"/>
      <w:divBdr>
        <w:top w:val="none" w:sz="0" w:space="0" w:color="auto"/>
        <w:left w:val="none" w:sz="0" w:space="0" w:color="auto"/>
        <w:bottom w:val="none" w:sz="0" w:space="0" w:color="auto"/>
        <w:right w:val="none" w:sz="0" w:space="0" w:color="auto"/>
      </w:divBdr>
    </w:div>
    <w:div w:id="939490118">
      <w:bodyDiv w:val="1"/>
      <w:marLeft w:val="0"/>
      <w:marRight w:val="0"/>
      <w:marTop w:val="0"/>
      <w:marBottom w:val="0"/>
      <w:divBdr>
        <w:top w:val="none" w:sz="0" w:space="0" w:color="auto"/>
        <w:left w:val="none" w:sz="0" w:space="0" w:color="auto"/>
        <w:bottom w:val="none" w:sz="0" w:space="0" w:color="auto"/>
        <w:right w:val="none" w:sz="0" w:space="0" w:color="auto"/>
      </w:divBdr>
    </w:div>
    <w:div w:id="987247053">
      <w:bodyDiv w:val="1"/>
      <w:marLeft w:val="0"/>
      <w:marRight w:val="0"/>
      <w:marTop w:val="0"/>
      <w:marBottom w:val="0"/>
      <w:divBdr>
        <w:top w:val="none" w:sz="0" w:space="0" w:color="auto"/>
        <w:left w:val="none" w:sz="0" w:space="0" w:color="auto"/>
        <w:bottom w:val="none" w:sz="0" w:space="0" w:color="auto"/>
        <w:right w:val="none" w:sz="0" w:space="0" w:color="auto"/>
      </w:divBdr>
    </w:div>
    <w:div w:id="998271176">
      <w:bodyDiv w:val="1"/>
      <w:marLeft w:val="0"/>
      <w:marRight w:val="0"/>
      <w:marTop w:val="0"/>
      <w:marBottom w:val="0"/>
      <w:divBdr>
        <w:top w:val="none" w:sz="0" w:space="0" w:color="auto"/>
        <w:left w:val="none" w:sz="0" w:space="0" w:color="auto"/>
        <w:bottom w:val="none" w:sz="0" w:space="0" w:color="auto"/>
        <w:right w:val="none" w:sz="0" w:space="0" w:color="auto"/>
      </w:divBdr>
    </w:div>
    <w:div w:id="999966066">
      <w:bodyDiv w:val="1"/>
      <w:marLeft w:val="0"/>
      <w:marRight w:val="0"/>
      <w:marTop w:val="0"/>
      <w:marBottom w:val="0"/>
      <w:divBdr>
        <w:top w:val="none" w:sz="0" w:space="0" w:color="auto"/>
        <w:left w:val="none" w:sz="0" w:space="0" w:color="auto"/>
        <w:bottom w:val="none" w:sz="0" w:space="0" w:color="auto"/>
        <w:right w:val="none" w:sz="0" w:space="0" w:color="auto"/>
      </w:divBdr>
    </w:div>
    <w:div w:id="1005327016">
      <w:bodyDiv w:val="1"/>
      <w:marLeft w:val="0"/>
      <w:marRight w:val="0"/>
      <w:marTop w:val="0"/>
      <w:marBottom w:val="0"/>
      <w:divBdr>
        <w:top w:val="none" w:sz="0" w:space="0" w:color="auto"/>
        <w:left w:val="none" w:sz="0" w:space="0" w:color="auto"/>
        <w:bottom w:val="none" w:sz="0" w:space="0" w:color="auto"/>
        <w:right w:val="none" w:sz="0" w:space="0" w:color="auto"/>
      </w:divBdr>
    </w:div>
    <w:div w:id="1056321253">
      <w:bodyDiv w:val="1"/>
      <w:marLeft w:val="0"/>
      <w:marRight w:val="0"/>
      <w:marTop w:val="0"/>
      <w:marBottom w:val="0"/>
      <w:divBdr>
        <w:top w:val="none" w:sz="0" w:space="0" w:color="auto"/>
        <w:left w:val="none" w:sz="0" w:space="0" w:color="auto"/>
        <w:bottom w:val="none" w:sz="0" w:space="0" w:color="auto"/>
        <w:right w:val="none" w:sz="0" w:space="0" w:color="auto"/>
      </w:divBdr>
    </w:div>
    <w:div w:id="1063675540">
      <w:bodyDiv w:val="1"/>
      <w:marLeft w:val="0"/>
      <w:marRight w:val="0"/>
      <w:marTop w:val="0"/>
      <w:marBottom w:val="0"/>
      <w:divBdr>
        <w:top w:val="none" w:sz="0" w:space="0" w:color="auto"/>
        <w:left w:val="none" w:sz="0" w:space="0" w:color="auto"/>
        <w:bottom w:val="none" w:sz="0" w:space="0" w:color="auto"/>
        <w:right w:val="none" w:sz="0" w:space="0" w:color="auto"/>
      </w:divBdr>
    </w:div>
    <w:div w:id="1087766819">
      <w:bodyDiv w:val="1"/>
      <w:marLeft w:val="0"/>
      <w:marRight w:val="0"/>
      <w:marTop w:val="0"/>
      <w:marBottom w:val="0"/>
      <w:divBdr>
        <w:top w:val="none" w:sz="0" w:space="0" w:color="auto"/>
        <w:left w:val="none" w:sz="0" w:space="0" w:color="auto"/>
        <w:bottom w:val="none" w:sz="0" w:space="0" w:color="auto"/>
        <w:right w:val="none" w:sz="0" w:space="0" w:color="auto"/>
      </w:divBdr>
    </w:div>
    <w:div w:id="1101799553">
      <w:bodyDiv w:val="1"/>
      <w:marLeft w:val="0"/>
      <w:marRight w:val="0"/>
      <w:marTop w:val="0"/>
      <w:marBottom w:val="0"/>
      <w:divBdr>
        <w:top w:val="none" w:sz="0" w:space="0" w:color="auto"/>
        <w:left w:val="none" w:sz="0" w:space="0" w:color="auto"/>
        <w:bottom w:val="none" w:sz="0" w:space="0" w:color="auto"/>
        <w:right w:val="none" w:sz="0" w:space="0" w:color="auto"/>
      </w:divBdr>
    </w:div>
    <w:div w:id="1121800428">
      <w:bodyDiv w:val="1"/>
      <w:marLeft w:val="0"/>
      <w:marRight w:val="0"/>
      <w:marTop w:val="0"/>
      <w:marBottom w:val="0"/>
      <w:divBdr>
        <w:top w:val="none" w:sz="0" w:space="0" w:color="auto"/>
        <w:left w:val="none" w:sz="0" w:space="0" w:color="auto"/>
        <w:bottom w:val="none" w:sz="0" w:space="0" w:color="auto"/>
        <w:right w:val="none" w:sz="0" w:space="0" w:color="auto"/>
      </w:divBdr>
    </w:div>
    <w:div w:id="1185286505">
      <w:bodyDiv w:val="1"/>
      <w:marLeft w:val="0"/>
      <w:marRight w:val="0"/>
      <w:marTop w:val="0"/>
      <w:marBottom w:val="0"/>
      <w:divBdr>
        <w:top w:val="none" w:sz="0" w:space="0" w:color="auto"/>
        <w:left w:val="none" w:sz="0" w:space="0" w:color="auto"/>
        <w:bottom w:val="none" w:sz="0" w:space="0" w:color="auto"/>
        <w:right w:val="none" w:sz="0" w:space="0" w:color="auto"/>
      </w:divBdr>
    </w:div>
    <w:div w:id="1209997709">
      <w:bodyDiv w:val="1"/>
      <w:marLeft w:val="0"/>
      <w:marRight w:val="0"/>
      <w:marTop w:val="0"/>
      <w:marBottom w:val="0"/>
      <w:divBdr>
        <w:top w:val="none" w:sz="0" w:space="0" w:color="auto"/>
        <w:left w:val="none" w:sz="0" w:space="0" w:color="auto"/>
        <w:bottom w:val="none" w:sz="0" w:space="0" w:color="auto"/>
        <w:right w:val="none" w:sz="0" w:space="0" w:color="auto"/>
      </w:divBdr>
    </w:div>
    <w:div w:id="1215384086">
      <w:bodyDiv w:val="1"/>
      <w:marLeft w:val="0"/>
      <w:marRight w:val="0"/>
      <w:marTop w:val="0"/>
      <w:marBottom w:val="0"/>
      <w:divBdr>
        <w:top w:val="none" w:sz="0" w:space="0" w:color="auto"/>
        <w:left w:val="none" w:sz="0" w:space="0" w:color="auto"/>
        <w:bottom w:val="none" w:sz="0" w:space="0" w:color="auto"/>
        <w:right w:val="none" w:sz="0" w:space="0" w:color="auto"/>
      </w:divBdr>
    </w:div>
    <w:div w:id="1235510510">
      <w:bodyDiv w:val="1"/>
      <w:marLeft w:val="0"/>
      <w:marRight w:val="0"/>
      <w:marTop w:val="0"/>
      <w:marBottom w:val="0"/>
      <w:divBdr>
        <w:top w:val="none" w:sz="0" w:space="0" w:color="auto"/>
        <w:left w:val="none" w:sz="0" w:space="0" w:color="auto"/>
        <w:bottom w:val="none" w:sz="0" w:space="0" w:color="auto"/>
        <w:right w:val="none" w:sz="0" w:space="0" w:color="auto"/>
      </w:divBdr>
    </w:div>
    <w:div w:id="1277953010">
      <w:bodyDiv w:val="1"/>
      <w:marLeft w:val="0"/>
      <w:marRight w:val="0"/>
      <w:marTop w:val="0"/>
      <w:marBottom w:val="0"/>
      <w:divBdr>
        <w:top w:val="none" w:sz="0" w:space="0" w:color="auto"/>
        <w:left w:val="none" w:sz="0" w:space="0" w:color="auto"/>
        <w:bottom w:val="none" w:sz="0" w:space="0" w:color="auto"/>
        <w:right w:val="none" w:sz="0" w:space="0" w:color="auto"/>
      </w:divBdr>
    </w:div>
    <w:div w:id="1366105085">
      <w:bodyDiv w:val="1"/>
      <w:marLeft w:val="0"/>
      <w:marRight w:val="0"/>
      <w:marTop w:val="0"/>
      <w:marBottom w:val="0"/>
      <w:divBdr>
        <w:top w:val="none" w:sz="0" w:space="0" w:color="auto"/>
        <w:left w:val="none" w:sz="0" w:space="0" w:color="auto"/>
        <w:bottom w:val="none" w:sz="0" w:space="0" w:color="auto"/>
        <w:right w:val="none" w:sz="0" w:space="0" w:color="auto"/>
      </w:divBdr>
    </w:div>
    <w:div w:id="1369646973">
      <w:bodyDiv w:val="1"/>
      <w:marLeft w:val="0"/>
      <w:marRight w:val="0"/>
      <w:marTop w:val="0"/>
      <w:marBottom w:val="0"/>
      <w:divBdr>
        <w:top w:val="none" w:sz="0" w:space="0" w:color="auto"/>
        <w:left w:val="none" w:sz="0" w:space="0" w:color="auto"/>
        <w:bottom w:val="none" w:sz="0" w:space="0" w:color="auto"/>
        <w:right w:val="none" w:sz="0" w:space="0" w:color="auto"/>
      </w:divBdr>
    </w:div>
    <w:div w:id="1370761852">
      <w:bodyDiv w:val="1"/>
      <w:marLeft w:val="0"/>
      <w:marRight w:val="0"/>
      <w:marTop w:val="0"/>
      <w:marBottom w:val="0"/>
      <w:divBdr>
        <w:top w:val="none" w:sz="0" w:space="0" w:color="auto"/>
        <w:left w:val="none" w:sz="0" w:space="0" w:color="auto"/>
        <w:bottom w:val="none" w:sz="0" w:space="0" w:color="auto"/>
        <w:right w:val="none" w:sz="0" w:space="0" w:color="auto"/>
      </w:divBdr>
    </w:div>
    <w:div w:id="1380401788">
      <w:bodyDiv w:val="1"/>
      <w:marLeft w:val="0"/>
      <w:marRight w:val="0"/>
      <w:marTop w:val="0"/>
      <w:marBottom w:val="0"/>
      <w:divBdr>
        <w:top w:val="none" w:sz="0" w:space="0" w:color="auto"/>
        <w:left w:val="none" w:sz="0" w:space="0" w:color="auto"/>
        <w:bottom w:val="none" w:sz="0" w:space="0" w:color="auto"/>
        <w:right w:val="none" w:sz="0" w:space="0" w:color="auto"/>
      </w:divBdr>
    </w:div>
    <w:div w:id="1415930541">
      <w:bodyDiv w:val="1"/>
      <w:marLeft w:val="0"/>
      <w:marRight w:val="0"/>
      <w:marTop w:val="0"/>
      <w:marBottom w:val="0"/>
      <w:divBdr>
        <w:top w:val="none" w:sz="0" w:space="0" w:color="auto"/>
        <w:left w:val="none" w:sz="0" w:space="0" w:color="auto"/>
        <w:bottom w:val="none" w:sz="0" w:space="0" w:color="auto"/>
        <w:right w:val="none" w:sz="0" w:space="0" w:color="auto"/>
      </w:divBdr>
    </w:div>
    <w:div w:id="1503541930">
      <w:bodyDiv w:val="1"/>
      <w:marLeft w:val="0"/>
      <w:marRight w:val="0"/>
      <w:marTop w:val="0"/>
      <w:marBottom w:val="0"/>
      <w:divBdr>
        <w:top w:val="none" w:sz="0" w:space="0" w:color="auto"/>
        <w:left w:val="none" w:sz="0" w:space="0" w:color="auto"/>
        <w:bottom w:val="none" w:sz="0" w:space="0" w:color="auto"/>
        <w:right w:val="none" w:sz="0" w:space="0" w:color="auto"/>
      </w:divBdr>
    </w:div>
    <w:div w:id="1549074833">
      <w:bodyDiv w:val="1"/>
      <w:marLeft w:val="0"/>
      <w:marRight w:val="0"/>
      <w:marTop w:val="0"/>
      <w:marBottom w:val="0"/>
      <w:divBdr>
        <w:top w:val="none" w:sz="0" w:space="0" w:color="auto"/>
        <w:left w:val="none" w:sz="0" w:space="0" w:color="auto"/>
        <w:bottom w:val="none" w:sz="0" w:space="0" w:color="auto"/>
        <w:right w:val="none" w:sz="0" w:space="0" w:color="auto"/>
      </w:divBdr>
    </w:div>
    <w:div w:id="1551384091">
      <w:bodyDiv w:val="1"/>
      <w:marLeft w:val="0"/>
      <w:marRight w:val="0"/>
      <w:marTop w:val="0"/>
      <w:marBottom w:val="0"/>
      <w:divBdr>
        <w:top w:val="none" w:sz="0" w:space="0" w:color="auto"/>
        <w:left w:val="none" w:sz="0" w:space="0" w:color="auto"/>
        <w:bottom w:val="none" w:sz="0" w:space="0" w:color="auto"/>
        <w:right w:val="none" w:sz="0" w:space="0" w:color="auto"/>
      </w:divBdr>
    </w:div>
    <w:div w:id="1560434830">
      <w:bodyDiv w:val="1"/>
      <w:marLeft w:val="0"/>
      <w:marRight w:val="0"/>
      <w:marTop w:val="0"/>
      <w:marBottom w:val="0"/>
      <w:divBdr>
        <w:top w:val="none" w:sz="0" w:space="0" w:color="auto"/>
        <w:left w:val="none" w:sz="0" w:space="0" w:color="auto"/>
        <w:bottom w:val="none" w:sz="0" w:space="0" w:color="auto"/>
        <w:right w:val="none" w:sz="0" w:space="0" w:color="auto"/>
      </w:divBdr>
    </w:div>
    <w:div w:id="1613174310">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8436242">
      <w:bodyDiv w:val="1"/>
      <w:marLeft w:val="0"/>
      <w:marRight w:val="0"/>
      <w:marTop w:val="0"/>
      <w:marBottom w:val="0"/>
      <w:divBdr>
        <w:top w:val="none" w:sz="0" w:space="0" w:color="auto"/>
        <w:left w:val="none" w:sz="0" w:space="0" w:color="auto"/>
        <w:bottom w:val="none" w:sz="0" w:space="0" w:color="auto"/>
        <w:right w:val="none" w:sz="0" w:space="0" w:color="auto"/>
      </w:divBdr>
    </w:div>
    <w:div w:id="1726374944">
      <w:bodyDiv w:val="1"/>
      <w:marLeft w:val="0"/>
      <w:marRight w:val="0"/>
      <w:marTop w:val="0"/>
      <w:marBottom w:val="0"/>
      <w:divBdr>
        <w:top w:val="none" w:sz="0" w:space="0" w:color="auto"/>
        <w:left w:val="none" w:sz="0" w:space="0" w:color="auto"/>
        <w:bottom w:val="none" w:sz="0" w:space="0" w:color="auto"/>
        <w:right w:val="none" w:sz="0" w:space="0" w:color="auto"/>
      </w:divBdr>
    </w:div>
    <w:div w:id="1745175250">
      <w:bodyDiv w:val="1"/>
      <w:marLeft w:val="0"/>
      <w:marRight w:val="0"/>
      <w:marTop w:val="0"/>
      <w:marBottom w:val="0"/>
      <w:divBdr>
        <w:top w:val="none" w:sz="0" w:space="0" w:color="auto"/>
        <w:left w:val="none" w:sz="0" w:space="0" w:color="auto"/>
        <w:bottom w:val="none" w:sz="0" w:space="0" w:color="auto"/>
        <w:right w:val="none" w:sz="0" w:space="0" w:color="auto"/>
      </w:divBdr>
    </w:div>
    <w:div w:id="1751197827">
      <w:bodyDiv w:val="1"/>
      <w:marLeft w:val="0"/>
      <w:marRight w:val="0"/>
      <w:marTop w:val="0"/>
      <w:marBottom w:val="0"/>
      <w:divBdr>
        <w:top w:val="none" w:sz="0" w:space="0" w:color="auto"/>
        <w:left w:val="none" w:sz="0" w:space="0" w:color="auto"/>
        <w:bottom w:val="none" w:sz="0" w:space="0" w:color="auto"/>
        <w:right w:val="none" w:sz="0" w:space="0" w:color="auto"/>
      </w:divBdr>
    </w:div>
    <w:div w:id="1771968027">
      <w:bodyDiv w:val="1"/>
      <w:marLeft w:val="0"/>
      <w:marRight w:val="0"/>
      <w:marTop w:val="0"/>
      <w:marBottom w:val="0"/>
      <w:divBdr>
        <w:top w:val="none" w:sz="0" w:space="0" w:color="auto"/>
        <w:left w:val="none" w:sz="0" w:space="0" w:color="auto"/>
        <w:bottom w:val="none" w:sz="0" w:space="0" w:color="auto"/>
        <w:right w:val="none" w:sz="0" w:space="0" w:color="auto"/>
      </w:divBdr>
    </w:div>
    <w:div w:id="1820269256">
      <w:bodyDiv w:val="1"/>
      <w:marLeft w:val="0"/>
      <w:marRight w:val="0"/>
      <w:marTop w:val="0"/>
      <w:marBottom w:val="0"/>
      <w:divBdr>
        <w:top w:val="none" w:sz="0" w:space="0" w:color="auto"/>
        <w:left w:val="none" w:sz="0" w:space="0" w:color="auto"/>
        <w:bottom w:val="none" w:sz="0" w:space="0" w:color="auto"/>
        <w:right w:val="none" w:sz="0" w:space="0" w:color="auto"/>
      </w:divBdr>
    </w:div>
    <w:div w:id="1838378272">
      <w:bodyDiv w:val="1"/>
      <w:marLeft w:val="0"/>
      <w:marRight w:val="0"/>
      <w:marTop w:val="0"/>
      <w:marBottom w:val="0"/>
      <w:divBdr>
        <w:top w:val="none" w:sz="0" w:space="0" w:color="auto"/>
        <w:left w:val="none" w:sz="0" w:space="0" w:color="auto"/>
        <w:bottom w:val="none" w:sz="0" w:space="0" w:color="auto"/>
        <w:right w:val="none" w:sz="0" w:space="0" w:color="auto"/>
      </w:divBdr>
    </w:div>
    <w:div w:id="1857962319">
      <w:bodyDiv w:val="1"/>
      <w:marLeft w:val="0"/>
      <w:marRight w:val="0"/>
      <w:marTop w:val="0"/>
      <w:marBottom w:val="0"/>
      <w:divBdr>
        <w:top w:val="none" w:sz="0" w:space="0" w:color="auto"/>
        <w:left w:val="none" w:sz="0" w:space="0" w:color="auto"/>
        <w:bottom w:val="none" w:sz="0" w:space="0" w:color="auto"/>
        <w:right w:val="none" w:sz="0" w:space="0" w:color="auto"/>
      </w:divBdr>
    </w:div>
    <w:div w:id="1861356610">
      <w:bodyDiv w:val="1"/>
      <w:marLeft w:val="0"/>
      <w:marRight w:val="0"/>
      <w:marTop w:val="0"/>
      <w:marBottom w:val="0"/>
      <w:divBdr>
        <w:top w:val="none" w:sz="0" w:space="0" w:color="auto"/>
        <w:left w:val="none" w:sz="0" w:space="0" w:color="auto"/>
        <w:bottom w:val="none" w:sz="0" w:space="0" w:color="auto"/>
        <w:right w:val="none" w:sz="0" w:space="0" w:color="auto"/>
      </w:divBdr>
    </w:div>
    <w:div w:id="1899632520">
      <w:bodyDiv w:val="1"/>
      <w:marLeft w:val="0"/>
      <w:marRight w:val="0"/>
      <w:marTop w:val="0"/>
      <w:marBottom w:val="0"/>
      <w:divBdr>
        <w:top w:val="none" w:sz="0" w:space="0" w:color="auto"/>
        <w:left w:val="none" w:sz="0" w:space="0" w:color="auto"/>
        <w:bottom w:val="none" w:sz="0" w:space="0" w:color="auto"/>
        <w:right w:val="none" w:sz="0" w:space="0" w:color="auto"/>
      </w:divBdr>
    </w:div>
    <w:div w:id="1911696884">
      <w:bodyDiv w:val="1"/>
      <w:marLeft w:val="0"/>
      <w:marRight w:val="0"/>
      <w:marTop w:val="0"/>
      <w:marBottom w:val="0"/>
      <w:divBdr>
        <w:top w:val="none" w:sz="0" w:space="0" w:color="auto"/>
        <w:left w:val="none" w:sz="0" w:space="0" w:color="auto"/>
        <w:bottom w:val="none" w:sz="0" w:space="0" w:color="auto"/>
        <w:right w:val="none" w:sz="0" w:space="0" w:color="auto"/>
      </w:divBdr>
    </w:div>
    <w:div w:id="1921020241">
      <w:bodyDiv w:val="1"/>
      <w:marLeft w:val="0"/>
      <w:marRight w:val="0"/>
      <w:marTop w:val="0"/>
      <w:marBottom w:val="0"/>
      <w:divBdr>
        <w:top w:val="none" w:sz="0" w:space="0" w:color="auto"/>
        <w:left w:val="none" w:sz="0" w:space="0" w:color="auto"/>
        <w:bottom w:val="none" w:sz="0" w:space="0" w:color="auto"/>
        <w:right w:val="none" w:sz="0" w:space="0" w:color="auto"/>
      </w:divBdr>
    </w:div>
    <w:div w:id="1979409426">
      <w:bodyDiv w:val="1"/>
      <w:marLeft w:val="0"/>
      <w:marRight w:val="0"/>
      <w:marTop w:val="0"/>
      <w:marBottom w:val="0"/>
      <w:divBdr>
        <w:top w:val="none" w:sz="0" w:space="0" w:color="auto"/>
        <w:left w:val="none" w:sz="0" w:space="0" w:color="auto"/>
        <w:bottom w:val="none" w:sz="0" w:space="0" w:color="auto"/>
        <w:right w:val="none" w:sz="0" w:space="0" w:color="auto"/>
      </w:divBdr>
    </w:div>
    <w:div w:id="1998872853">
      <w:bodyDiv w:val="1"/>
      <w:marLeft w:val="0"/>
      <w:marRight w:val="0"/>
      <w:marTop w:val="0"/>
      <w:marBottom w:val="0"/>
      <w:divBdr>
        <w:top w:val="none" w:sz="0" w:space="0" w:color="auto"/>
        <w:left w:val="none" w:sz="0" w:space="0" w:color="auto"/>
        <w:bottom w:val="none" w:sz="0" w:space="0" w:color="auto"/>
        <w:right w:val="none" w:sz="0" w:space="0" w:color="auto"/>
      </w:divBdr>
    </w:div>
    <w:div w:id="2011446747">
      <w:bodyDiv w:val="1"/>
      <w:marLeft w:val="0"/>
      <w:marRight w:val="0"/>
      <w:marTop w:val="0"/>
      <w:marBottom w:val="0"/>
      <w:divBdr>
        <w:top w:val="none" w:sz="0" w:space="0" w:color="auto"/>
        <w:left w:val="none" w:sz="0" w:space="0" w:color="auto"/>
        <w:bottom w:val="none" w:sz="0" w:space="0" w:color="auto"/>
        <w:right w:val="none" w:sz="0" w:space="0" w:color="auto"/>
      </w:divBdr>
    </w:div>
    <w:div w:id="2027901914">
      <w:bodyDiv w:val="1"/>
      <w:marLeft w:val="0"/>
      <w:marRight w:val="0"/>
      <w:marTop w:val="0"/>
      <w:marBottom w:val="0"/>
      <w:divBdr>
        <w:top w:val="none" w:sz="0" w:space="0" w:color="auto"/>
        <w:left w:val="none" w:sz="0" w:space="0" w:color="auto"/>
        <w:bottom w:val="none" w:sz="0" w:space="0" w:color="auto"/>
        <w:right w:val="none" w:sz="0" w:space="0" w:color="auto"/>
      </w:divBdr>
    </w:div>
    <w:div w:id="2052803601">
      <w:bodyDiv w:val="1"/>
      <w:marLeft w:val="0"/>
      <w:marRight w:val="0"/>
      <w:marTop w:val="0"/>
      <w:marBottom w:val="0"/>
      <w:divBdr>
        <w:top w:val="none" w:sz="0" w:space="0" w:color="auto"/>
        <w:left w:val="none" w:sz="0" w:space="0" w:color="auto"/>
        <w:bottom w:val="none" w:sz="0" w:space="0" w:color="auto"/>
        <w:right w:val="none" w:sz="0" w:space="0" w:color="auto"/>
      </w:divBdr>
    </w:div>
    <w:div w:id="2114352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w-democracy.org" TargetMode="External"/><Relationship Id="rId4" Type="http://schemas.openxmlformats.org/officeDocument/2006/relationships/settings" Target="settings.xml"/><Relationship Id="rId9" Type="http://schemas.openxmlformats.org/officeDocument/2006/relationships/hyperlink" Target="mailto:info@law-democracy.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aw-democracy.org/live/wp-content/uploads/2017/04/17.04.04.ATIA-delay.let1_.pdf" TargetMode="External"/><Relationship Id="rId3" Type="http://schemas.openxmlformats.org/officeDocument/2006/relationships/hyperlink" Target="http://www.apc.org/en/system/files/UPR_Canada_Coalition_InternetRights.pdf" TargetMode="External"/><Relationship Id="rId7" Type="http://schemas.openxmlformats.org/officeDocument/2006/relationships/hyperlink" Target="http://www.law-democracy.org/live/wp-content/uploads/2016/07/Canada.RTI_.Jun16.pdf" TargetMode="External"/><Relationship Id="rId12" Type="http://schemas.openxmlformats.org/officeDocument/2006/relationships/hyperlink" Target="http://www.rti-rating.org/country-data/" TargetMode="External"/><Relationship Id="rId2" Type="http://schemas.openxmlformats.org/officeDocument/2006/relationships/hyperlink" Target="http://www.law-democracy.org/live/canada-un-universal-periodic-review-submission/" TargetMode="External"/><Relationship Id="rId1" Type="http://schemas.openxmlformats.org/officeDocument/2006/relationships/hyperlink" Target="http://creativecommons.org/licenses/by-nc-sa/3.0/" TargetMode="External"/><Relationship Id="rId6" Type="http://schemas.openxmlformats.org/officeDocument/2006/relationships/hyperlink" Target="https://www.liberal.ca/wp-content/uploads/2015/08/a-fair-and-open-government.pdf" TargetMode="External"/><Relationship Id="rId11" Type="http://schemas.openxmlformats.org/officeDocument/2006/relationships/hyperlink" Target="https://www.tbs-sct.gc.ca/pol/doc-eng.aspx?id=18310" TargetMode="External"/><Relationship Id="rId5" Type="http://schemas.openxmlformats.org/officeDocument/2006/relationships/hyperlink" Target="https://nmc-mic.ca/public-affairs/freedom-of-information/2017-freedom-information-audit/" TargetMode="External"/><Relationship Id="rId10" Type="http://schemas.openxmlformats.org/officeDocument/2006/relationships/hyperlink" Target="https://www.liberal.ca/realchange/access-to-information/" TargetMode="External"/><Relationship Id="rId4" Type="http://schemas.openxmlformats.org/officeDocument/2006/relationships/hyperlink" Target="http://www.law-democracy.org/live/wp-content/uploads/2012/08/Canada.RTI_.Jan13.pdf" TargetMode="External"/><Relationship Id="rId9" Type="http://schemas.openxmlformats.org/officeDocument/2006/relationships/hyperlink" Target="http://www.ci-oic.gc.ca/eng/rapport-special-c-58_special-report-c-5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2A7F83-3BD8-9D4A-94A6-352122B1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11</Pages>
  <Words>4381</Words>
  <Characters>23135</Characters>
  <Application>Microsoft Office Word</Application>
  <DocSecurity>0</DocSecurity>
  <Lines>550</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K</dc:creator>
  <cp:keywords/>
  <dc:description/>
  <cp:lastModifiedBy>Portia K</cp:lastModifiedBy>
  <cp:revision>34</cp:revision>
  <cp:lastPrinted>2018-02-05T21:18:00Z</cp:lastPrinted>
  <dcterms:created xsi:type="dcterms:W3CDTF">2018-02-05T15:50:00Z</dcterms:created>
  <dcterms:modified xsi:type="dcterms:W3CDTF">2018-02-07T16:01:00Z</dcterms:modified>
</cp:coreProperties>
</file>