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1A" w:rsidRPr="007B7D0A" w:rsidRDefault="00F9211A" w:rsidP="00F9211A">
      <w:pPr>
        <w:rPr>
          <w:b/>
        </w:rPr>
      </w:pPr>
    </w:p>
    <w:p w:rsidR="00F9211A" w:rsidRPr="007B7D0A" w:rsidRDefault="00F9211A" w:rsidP="00F9211A">
      <w:pPr>
        <w:jc w:val="center"/>
        <w:rPr>
          <w:rFonts w:ascii="Rockwell Extra Bold" w:hAnsi="Rockwell Extra Bold"/>
          <w:b/>
          <w:sz w:val="36"/>
        </w:rPr>
      </w:pPr>
      <w:r w:rsidRPr="007B7D0A">
        <w:rPr>
          <w:rFonts w:ascii="Rockwell Extra Bold" w:hAnsi="Rockwell Extra Bold"/>
          <w:b/>
          <w:noProof/>
          <w:sz w:val="36"/>
          <w:lang w:val="en-US"/>
        </w:rPr>
        <w:drawing>
          <wp:inline distT="0" distB="0" distL="0" distR="0">
            <wp:extent cx="4451562" cy="1079500"/>
            <wp:effectExtent l="25400" t="0" r="0" b="0"/>
            <wp:docPr id="1" name="Picture 1" descr="law_dem_final_white_words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w_dem_final_white_words_big"/>
                    <pic:cNvPicPr>
                      <a:picLocks/>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448874" cy="1078848"/>
                    </a:xfrm>
                    <a:prstGeom prst="rect">
                      <a:avLst/>
                    </a:prstGeom>
                    <a:noFill/>
                    <a:ln>
                      <a:noFill/>
                    </a:ln>
                  </pic:spPr>
                </pic:pic>
              </a:graphicData>
            </a:graphic>
          </wp:inline>
        </w:drawing>
      </w:r>
    </w:p>
    <w:p w:rsidR="00F9211A" w:rsidRPr="007B7D0A" w:rsidRDefault="00F9211A" w:rsidP="00F9211A"/>
    <w:p w:rsidR="00F9211A" w:rsidRPr="007B7D0A" w:rsidRDefault="00F9211A" w:rsidP="00F9211A"/>
    <w:p w:rsidR="00F9211A" w:rsidRPr="007B7D0A" w:rsidRDefault="00F9211A" w:rsidP="007B7D0A">
      <w:pPr>
        <w:jc w:val="center"/>
        <w:rPr>
          <w:rFonts w:ascii="Franklin Gothic Medium" w:hAnsi="Franklin Gothic Medium"/>
          <w:b/>
          <w:sz w:val="38"/>
        </w:rPr>
      </w:pPr>
      <w:r w:rsidRPr="007B7D0A">
        <w:rPr>
          <w:rFonts w:ascii="Franklin Gothic Medium" w:hAnsi="Franklin Gothic Medium"/>
          <w:b/>
          <w:sz w:val="38"/>
        </w:rPr>
        <w:t>Submission to Ideas Discussion for Canada’s Act</w:t>
      </w:r>
      <w:r w:rsidR="00BB15F0" w:rsidRPr="007B7D0A">
        <w:rPr>
          <w:rFonts w:ascii="Franklin Gothic Medium" w:hAnsi="Franklin Gothic Medium"/>
          <w:b/>
          <w:sz w:val="38"/>
        </w:rPr>
        <w:t>ion Plan on Open Government 2018–20</w:t>
      </w:r>
    </w:p>
    <w:p w:rsidR="00F9211A" w:rsidRPr="007B7D0A" w:rsidRDefault="00F9211A" w:rsidP="00F9211A"/>
    <w:p w:rsidR="00B2433A" w:rsidRDefault="00B2433A" w:rsidP="00F9211A">
      <w:pPr>
        <w:jc w:val="center"/>
        <w:rPr>
          <w:rFonts w:ascii="Arial" w:hAnsi="Arial" w:cs="Arial"/>
          <w:b/>
          <w:sz w:val="28"/>
          <w:szCs w:val="28"/>
        </w:rPr>
      </w:pPr>
    </w:p>
    <w:p w:rsidR="00F9211A" w:rsidRPr="007B7D0A" w:rsidRDefault="00BB15F0" w:rsidP="00F9211A">
      <w:pPr>
        <w:jc w:val="center"/>
        <w:rPr>
          <w:b/>
          <w:sz w:val="28"/>
        </w:rPr>
      </w:pPr>
      <w:r w:rsidRPr="007B7D0A">
        <w:rPr>
          <w:rFonts w:ascii="Arial" w:hAnsi="Arial" w:cs="Arial"/>
          <w:b/>
          <w:sz w:val="28"/>
          <w:szCs w:val="28"/>
        </w:rPr>
        <w:t>March</w:t>
      </w:r>
      <w:r w:rsidR="00F9211A" w:rsidRPr="007B7D0A">
        <w:rPr>
          <w:rFonts w:ascii="Arial" w:hAnsi="Arial" w:cs="Arial"/>
          <w:b/>
          <w:sz w:val="28"/>
          <w:szCs w:val="28"/>
        </w:rPr>
        <w:t xml:space="preserve"> 201</w:t>
      </w:r>
      <w:r w:rsidRPr="007B7D0A">
        <w:rPr>
          <w:rFonts w:ascii="Arial" w:hAnsi="Arial" w:cs="Arial"/>
          <w:b/>
          <w:sz w:val="28"/>
          <w:szCs w:val="28"/>
        </w:rPr>
        <w:t>8</w:t>
      </w:r>
    </w:p>
    <w:p w:rsidR="00B2433A" w:rsidRDefault="00B2433A" w:rsidP="00F9211A">
      <w:pPr>
        <w:pStyle w:val="FootnoteText"/>
        <w:jc w:val="both"/>
      </w:pPr>
    </w:p>
    <w:p w:rsidR="00F9211A" w:rsidRPr="007B7D0A" w:rsidRDefault="00F9211A" w:rsidP="00F9211A">
      <w:pPr>
        <w:pStyle w:val="FootnoteText"/>
        <w:jc w:val="both"/>
      </w:pPr>
    </w:p>
    <w:p w:rsidR="007B7D0A" w:rsidRPr="00004138" w:rsidRDefault="007B7D0A" w:rsidP="007B7D0A">
      <w:pPr>
        <w:jc w:val="center"/>
        <w:rPr>
          <w:b/>
          <w:noProof/>
        </w:rPr>
      </w:pPr>
      <w:r w:rsidRPr="00004138">
        <w:rPr>
          <w:b/>
          <w:noProof/>
        </w:rPr>
        <w:t>Centre for Law and Democracy</w:t>
      </w:r>
    </w:p>
    <w:p w:rsidR="007B7D0A" w:rsidRPr="00004138" w:rsidRDefault="001700F7" w:rsidP="007B7D0A">
      <w:pPr>
        <w:jc w:val="center"/>
        <w:rPr>
          <w:b/>
          <w:noProof/>
        </w:rPr>
      </w:pPr>
      <w:hyperlink r:id="rId8" w:history="1">
        <w:r w:rsidR="007B7D0A" w:rsidRPr="00004138">
          <w:rPr>
            <w:b/>
          </w:rPr>
          <w:t>info@law-democracy.org</w:t>
        </w:r>
      </w:hyperlink>
    </w:p>
    <w:p w:rsidR="007B7D0A" w:rsidRPr="00004138" w:rsidRDefault="007B7D0A" w:rsidP="007B7D0A">
      <w:pPr>
        <w:jc w:val="center"/>
        <w:rPr>
          <w:b/>
          <w:noProof/>
        </w:rPr>
      </w:pPr>
      <w:r w:rsidRPr="00004138">
        <w:rPr>
          <w:b/>
          <w:noProof/>
        </w:rPr>
        <w:t>+1 902 431-3688</w:t>
      </w:r>
    </w:p>
    <w:p w:rsidR="007B7D0A" w:rsidRPr="00004138" w:rsidRDefault="001700F7" w:rsidP="007B7D0A">
      <w:pPr>
        <w:jc w:val="center"/>
        <w:rPr>
          <w:b/>
          <w:noProof/>
        </w:rPr>
      </w:pPr>
      <w:hyperlink r:id="rId9" w:history="1">
        <w:r w:rsidR="007B7D0A" w:rsidRPr="00004138">
          <w:rPr>
            <w:b/>
          </w:rPr>
          <w:t>www.law-democracy.org</w:t>
        </w:r>
      </w:hyperlink>
    </w:p>
    <w:p w:rsidR="00F9211A" w:rsidRPr="007B7D0A" w:rsidRDefault="00F9211A" w:rsidP="00F9211A">
      <w:pPr>
        <w:pStyle w:val="FootnoteText"/>
        <w:jc w:val="both"/>
      </w:pPr>
    </w:p>
    <w:p w:rsidR="00AB67C8" w:rsidRDefault="00AB67C8" w:rsidP="00112201">
      <w:pPr>
        <w:pStyle w:val="FootnoteText"/>
        <w:jc w:val="both"/>
      </w:pPr>
    </w:p>
    <w:p w:rsidR="00B9502F" w:rsidRPr="007B7D0A" w:rsidRDefault="00F9211A" w:rsidP="00112201">
      <w:pPr>
        <w:pStyle w:val="FootnoteText"/>
        <w:jc w:val="both"/>
      </w:pPr>
      <w:r w:rsidRPr="007B7D0A">
        <w:t xml:space="preserve">This is the Centre for Law and Democracy’s (CLD) submission to the Government of Canada’s call for ideas to help shape Canada’s </w:t>
      </w:r>
      <w:r w:rsidR="00D421ED">
        <w:t>fourth A</w:t>
      </w:r>
      <w:r w:rsidRPr="007B7D0A">
        <w:t>ction Plan on Open Government:</w:t>
      </w:r>
      <w:r w:rsidR="00A6036A" w:rsidRPr="007B7D0A">
        <w:t xml:space="preserve"> 2018–20</w:t>
      </w:r>
      <w:r w:rsidRPr="007B7D0A">
        <w:t xml:space="preserve">. CLD is a Halifax-based human rights NGO that works internationally to promote foundational rights for democracy, </w:t>
      </w:r>
      <w:r w:rsidR="00F12576">
        <w:t>including</w:t>
      </w:r>
      <w:r w:rsidRPr="007B7D0A">
        <w:t xml:space="preserve"> freedom of expression</w:t>
      </w:r>
      <w:r w:rsidR="00F12576">
        <w:t>,</w:t>
      </w:r>
      <w:r w:rsidRPr="007B7D0A">
        <w:t xml:space="preserve"> the right to information</w:t>
      </w:r>
      <w:r w:rsidR="00F12576">
        <w:t>, the freedoms of association and assembly</w:t>
      </w:r>
      <w:r w:rsidR="00EC6EBB">
        <w:t>,</w:t>
      </w:r>
      <w:r w:rsidR="00F12576">
        <w:t xml:space="preserve"> and the right to participate</w:t>
      </w:r>
      <w:r w:rsidRPr="007B7D0A">
        <w:t xml:space="preserve">. </w:t>
      </w:r>
      <w:r w:rsidR="00B9502F" w:rsidRPr="007B7D0A">
        <w:t xml:space="preserve">CLD </w:t>
      </w:r>
      <w:r w:rsidR="00F12576">
        <w:t xml:space="preserve">has been actively engaged </w:t>
      </w:r>
      <w:r w:rsidR="00AC2A94">
        <w:t>in</w:t>
      </w:r>
      <w:r w:rsidR="00F12576">
        <w:t xml:space="preserve"> the OGP since the outset</w:t>
      </w:r>
      <w:r w:rsidR="00AC2A94">
        <w:t>, both in Canada and internationally</w:t>
      </w:r>
      <w:r w:rsidR="00F12576">
        <w:t xml:space="preserve">. This has included </w:t>
      </w:r>
      <w:r w:rsidR="00B9502F" w:rsidRPr="007B7D0A">
        <w:t>participating in and even facilitating consultations,</w:t>
      </w:r>
      <w:r w:rsidR="00EC6EBB">
        <w:rPr>
          <w:rStyle w:val="FootnoteReference"/>
        </w:rPr>
        <w:footnoteReference w:id="1"/>
      </w:r>
      <w:r w:rsidR="00B9502F" w:rsidRPr="007B7D0A">
        <w:t xml:space="preserve"> contributing to the progress review of the implementation of the first Action Plan</w:t>
      </w:r>
      <w:r w:rsidR="00B9502F" w:rsidRPr="007B7D0A">
        <w:rPr>
          <w:vertAlign w:val="superscript"/>
        </w:rPr>
        <w:footnoteReference w:id="2"/>
      </w:r>
      <w:r w:rsidR="00B9502F" w:rsidRPr="007B7D0A">
        <w:t xml:space="preserve"> and contributing to the ideas discussion for the second and third Action Plans.</w:t>
      </w:r>
      <w:bookmarkStart w:id="0" w:name="_Ref383525251"/>
      <w:r w:rsidR="00B9502F" w:rsidRPr="007B7D0A">
        <w:rPr>
          <w:vertAlign w:val="superscript"/>
        </w:rPr>
        <w:footnoteReference w:id="3"/>
      </w:r>
      <w:bookmarkEnd w:id="0"/>
    </w:p>
    <w:p w:rsidR="00B9502F" w:rsidRPr="007B7D0A" w:rsidRDefault="00B9502F" w:rsidP="00F9211A">
      <w:pPr>
        <w:pStyle w:val="FootnoteText"/>
        <w:jc w:val="both"/>
      </w:pPr>
    </w:p>
    <w:p w:rsidR="004200D6" w:rsidRDefault="00EC6EBB" w:rsidP="00112201">
      <w:pPr>
        <w:pStyle w:val="FootnoteText"/>
        <w:jc w:val="both"/>
      </w:pPr>
      <w:r>
        <w:t xml:space="preserve">In </w:t>
      </w:r>
      <w:r w:rsidR="00B9502F" w:rsidRPr="007B7D0A">
        <w:t>CLD</w:t>
      </w:r>
      <w:r>
        <w:t xml:space="preserve">’s previous submissions, </w:t>
      </w:r>
      <w:r w:rsidR="00893DB2">
        <w:t>we</w:t>
      </w:r>
      <w:r>
        <w:t xml:space="preserve"> focused on a range of issues, including the consultative process, the issue of a lack of suitable ambition in the plans and </w:t>
      </w:r>
      <w:r w:rsidR="004200D6">
        <w:t xml:space="preserve">providing </w:t>
      </w:r>
      <w:r w:rsidR="00893DB2">
        <w:t xml:space="preserve">specific </w:t>
      </w:r>
      <w:r w:rsidR="004200D6">
        <w:t>suggestions for what the next plan should address</w:t>
      </w:r>
      <w:r w:rsidR="00F9211A" w:rsidRPr="007B7D0A">
        <w:t xml:space="preserve">. </w:t>
      </w:r>
      <w:r w:rsidR="00B9502F" w:rsidRPr="007B7D0A">
        <w:t xml:space="preserve">In this submission, we focus solely on the urgent need for </w:t>
      </w:r>
      <w:r w:rsidR="004200D6">
        <w:t>real and substantial review of Canada’s sorely outdated</w:t>
      </w:r>
      <w:r w:rsidR="00B9502F" w:rsidRPr="007B7D0A">
        <w:t xml:space="preserve"> Access to Information Act</w:t>
      </w:r>
      <w:r w:rsidR="00893DB2">
        <w:t>. At the same time</w:t>
      </w:r>
      <w:r w:rsidR="004200D6">
        <w:t xml:space="preserve">, we note </w:t>
      </w:r>
      <w:r w:rsidR="00B9502F" w:rsidRPr="007B7D0A">
        <w:t xml:space="preserve">priorities </w:t>
      </w:r>
      <w:r w:rsidR="004200D6">
        <w:t xml:space="preserve">we have raised previously – such </w:t>
      </w:r>
      <w:r w:rsidR="00B9502F" w:rsidRPr="007B7D0A">
        <w:t xml:space="preserve">as ensuring </w:t>
      </w:r>
      <w:r w:rsidR="004200D6">
        <w:t xml:space="preserve">that the </w:t>
      </w:r>
      <w:r w:rsidR="00B9502F" w:rsidRPr="007B7D0A">
        <w:t>consultation process</w:t>
      </w:r>
      <w:r w:rsidR="004200D6">
        <w:t xml:space="preserve"> is </w:t>
      </w:r>
      <w:r w:rsidR="004200D6" w:rsidRPr="007B7D0A">
        <w:t>robust and inclusive</w:t>
      </w:r>
      <w:r w:rsidR="00B9502F" w:rsidRPr="007B7D0A">
        <w:t xml:space="preserve">, creating a centralised registry of beneficial ownership for all companies, and </w:t>
      </w:r>
      <w:r w:rsidR="004200D6">
        <w:t>publishing</w:t>
      </w:r>
      <w:r w:rsidR="00B9502F" w:rsidRPr="007B7D0A">
        <w:t xml:space="preserve"> more information about the decision-making process for awarding government grants, contract and tenders </w:t>
      </w:r>
      <w:r w:rsidR="004200D6">
        <w:t>– remain important for us.</w:t>
      </w:r>
    </w:p>
    <w:p w:rsidR="00847411" w:rsidRDefault="00847411" w:rsidP="00112201">
      <w:pPr>
        <w:pStyle w:val="FootnoteText"/>
        <w:jc w:val="both"/>
      </w:pPr>
    </w:p>
    <w:p w:rsidR="00847411" w:rsidRPr="00847411" w:rsidRDefault="00847411" w:rsidP="00112201">
      <w:pPr>
        <w:pStyle w:val="FootnoteText"/>
        <w:jc w:val="both"/>
        <w:rPr>
          <w:b/>
        </w:rPr>
      </w:pPr>
      <w:r w:rsidRPr="00847411">
        <w:rPr>
          <w:b/>
        </w:rPr>
        <w:t>Our Specific Suggestion</w:t>
      </w:r>
    </w:p>
    <w:p w:rsidR="004200D6" w:rsidRDefault="004200D6" w:rsidP="00112201">
      <w:pPr>
        <w:pStyle w:val="FootnoteText"/>
        <w:jc w:val="both"/>
      </w:pPr>
    </w:p>
    <w:p w:rsidR="00F9211A" w:rsidRPr="007B7D0A" w:rsidRDefault="00847411" w:rsidP="00112201">
      <w:pPr>
        <w:pStyle w:val="FootnoteText"/>
        <w:jc w:val="both"/>
      </w:pPr>
      <w:r>
        <w:t>CLD recommends that the government include the following as a key commitment in the fourth Action Plan:</w:t>
      </w:r>
    </w:p>
    <w:p w:rsidR="00F9211A" w:rsidRPr="007B7D0A" w:rsidRDefault="00F9211A" w:rsidP="00F9211A">
      <w:pPr>
        <w:pStyle w:val="FootnoteText"/>
        <w:jc w:val="both"/>
      </w:pPr>
    </w:p>
    <w:p w:rsidR="00F9211A" w:rsidRPr="00847411" w:rsidRDefault="000E0B51" w:rsidP="00847411">
      <w:pPr>
        <w:pStyle w:val="FootnoteText"/>
        <w:ind w:left="720" w:right="708"/>
        <w:jc w:val="both"/>
        <w:rPr>
          <w:i/>
        </w:rPr>
      </w:pPr>
      <w:r>
        <w:rPr>
          <w:i/>
        </w:rPr>
        <w:t>The Government of Canada</w:t>
      </w:r>
      <w:r w:rsidR="00847411" w:rsidRPr="00847411">
        <w:rPr>
          <w:i/>
        </w:rPr>
        <w:t xml:space="preserve"> will c</w:t>
      </w:r>
      <w:r w:rsidR="004200D6" w:rsidRPr="00847411">
        <w:rPr>
          <w:i/>
        </w:rPr>
        <w:t>onduct a broad r</w:t>
      </w:r>
      <w:r w:rsidR="00F9211A" w:rsidRPr="00847411">
        <w:rPr>
          <w:i/>
        </w:rPr>
        <w:t xml:space="preserve">eview </w:t>
      </w:r>
      <w:r w:rsidR="004200D6" w:rsidRPr="00847411">
        <w:rPr>
          <w:i/>
        </w:rPr>
        <w:t xml:space="preserve">of </w:t>
      </w:r>
      <w:r w:rsidR="00F9211A" w:rsidRPr="00847411">
        <w:rPr>
          <w:i/>
        </w:rPr>
        <w:t xml:space="preserve">Canada’s Access to Information Act </w:t>
      </w:r>
      <w:r w:rsidR="004200D6" w:rsidRPr="00847411">
        <w:rPr>
          <w:i/>
        </w:rPr>
        <w:t>and place a bill</w:t>
      </w:r>
      <w:r w:rsidR="00535B6A">
        <w:rPr>
          <w:i/>
        </w:rPr>
        <w:t xml:space="preserve"> before Parliament</w:t>
      </w:r>
      <w:r w:rsidR="004200D6" w:rsidRPr="00847411">
        <w:rPr>
          <w:i/>
        </w:rPr>
        <w:t xml:space="preserve"> to bring the Act into line with international standards and better practice </w:t>
      </w:r>
      <w:r w:rsidR="00847411" w:rsidRPr="00847411">
        <w:rPr>
          <w:i/>
        </w:rPr>
        <w:t xml:space="preserve">within the first year of this Action Plan (i.e. </w:t>
      </w:r>
      <w:bookmarkStart w:id="1" w:name="_GoBack"/>
      <w:bookmarkEnd w:id="1"/>
      <w:r w:rsidR="00847411" w:rsidRPr="00847411">
        <w:rPr>
          <w:i/>
        </w:rPr>
        <w:t>by mid-2019)</w:t>
      </w:r>
    </w:p>
    <w:p w:rsidR="00847411" w:rsidRDefault="00847411" w:rsidP="00F9211A">
      <w:pPr>
        <w:pStyle w:val="FootnoteText"/>
        <w:jc w:val="both"/>
      </w:pPr>
    </w:p>
    <w:p w:rsidR="006B3D56" w:rsidRDefault="006B3D56" w:rsidP="00F9211A">
      <w:pPr>
        <w:pStyle w:val="FootnoteText"/>
        <w:jc w:val="both"/>
      </w:pPr>
      <w:r>
        <w:t xml:space="preserve">Underneath that heading, we call on the </w:t>
      </w:r>
      <w:r w:rsidR="00DB0A53">
        <w:t xml:space="preserve">government to </w:t>
      </w:r>
      <w:r w:rsidR="002C37AF">
        <w:t xml:space="preserve">make the following reform </w:t>
      </w:r>
      <w:r w:rsidR="00DB0A53">
        <w:t>commit</w:t>
      </w:r>
      <w:r w:rsidR="002C37AF">
        <w:t>ments</w:t>
      </w:r>
      <w:r w:rsidR="00DB0A53">
        <w:t xml:space="preserve">: </w:t>
      </w:r>
    </w:p>
    <w:p w:rsidR="00DB0A53" w:rsidRDefault="002C37AF" w:rsidP="00DB0A53">
      <w:pPr>
        <w:pStyle w:val="FootnoteText"/>
        <w:numPr>
          <w:ilvl w:val="0"/>
          <w:numId w:val="3"/>
        </w:numPr>
        <w:jc w:val="both"/>
      </w:pPr>
      <w:r>
        <w:t>to expand</w:t>
      </w:r>
      <w:r w:rsidR="006B3D56" w:rsidRPr="007B7D0A">
        <w:t xml:space="preserve"> the application of the Act </w:t>
      </w:r>
      <w:r w:rsidR="00DB0A53">
        <w:t xml:space="preserve">to cover all public bodies, including full coverage of </w:t>
      </w:r>
      <w:r w:rsidR="006B3D56" w:rsidRPr="007B7D0A">
        <w:t>the Cabinet</w:t>
      </w:r>
      <w:r w:rsidR="00DB0A53">
        <w:t>, Minister</w:t>
      </w:r>
      <w:r w:rsidR="003B4952">
        <w:t>s</w:t>
      </w:r>
      <w:r w:rsidR="00DB0A53">
        <w:t>’</w:t>
      </w:r>
      <w:r w:rsidR="006B3D56" w:rsidRPr="007B7D0A">
        <w:t xml:space="preserve"> and </w:t>
      </w:r>
      <w:r w:rsidR="003B4952">
        <w:t>the Prime Minister’s</w:t>
      </w:r>
      <w:r w:rsidR="006B3D56" w:rsidRPr="007B7D0A">
        <w:t xml:space="preserve"> offices</w:t>
      </w:r>
      <w:r w:rsidR="00DB0A53">
        <w:t xml:space="preserve">, </w:t>
      </w:r>
      <w:r w:rsidR="00D421ED">
        <w:t xml:space="preserve">courts and Parliament, as well as </w:t>
      </w:r>
      <w:r w:rsidR="00DB0A53">
        <w:t>private bodies conducting public functions with public funds;</w:t>
      </w:r>
    </w:p>
    <w:p w:rsidR="00DB0A53" w:rsidRDefault="002C37AF" w:rsidP="00DB0A53">
      <w:pPr>
        <w:pStyle w:val="FootnoteText"/>
        <w:numPr>
          <w:ilvl w:val="0"/>
          <w:numId w:val="3"/>
        </w:numPr>
        <w:jc w:val="both"/>
      </w:pPr>
      <w:r>
        <w:t>to create</w:t>
      </w:r>
      <w:r w:rsidR="006B3D56" w:rsidRPr="007B7D0A">
        <w:t xml:space="preserve"> a duty to document important decision-making processes</w:t>
      </w:r>
      <w:r w:rsidR="00DB0A53">
        <w:t>;</w:t>
      </w:r>
    </w:p>
    <w:p w:rsidR="00DB0A53" w:rsidRDefault="002C37AF" w:rsidP="00DB0A53">
      <w:pPr>
        <w:pStyle w:val="FootnoteText"/>
        <w:numPr>
          <w:ilvl w:val="0"/>
          <w:numId w:val="3"/>
        </w:numPr>
        <w:jc w:val="both"/>
      </w:pPr>
      <w:r>
        <w:t>to create</w:t>
      </w:r>
      <w:r w:rsidR="006B3D56" w:rsidRPr="007B7D0A">
        <w:t xml:space="preserve"> binding timelines for responding to requests in order to fix one of the most complained about problems with the Act which are the long delays in responding to requests that the Act allows</w:t>
      </w:r>
      <w:r w:rsidR="00DB0A53">
        <w:t>;</w:t>
      </w:r>
    </w:p>
    <w:p w:rsidR="00E22F41" w:rsidRDefault="002C37AF" w:rsidP="00DB0A53">
      <w:pPr>
        <w:pStyle w:val="FootnoteText"/>
        <w:numPr>
          <w:ilvl w:val="0"/>
          <w:numId w:val="3"/>
        </w:numPr>
        <w:jc w:val="both"/>
      </w:pPr>
      <w:r>
        <w:t>to narrow</w:t>
      </w:r>
      <w:r w:rsidR="006B3D56" w:rsidRPr="007B7D0A">
        <w:t xml:space="preserve"> the Act’s </w:t>
      </w:r>
      <w:r w:rsidR="00DB0A53">
        <w:t xml:space="preserve">very </w:t>
      </w:r>
      <w:r w:rsidR="006B3D56" w:rsidRPr="007B7D0A">
        <w:t xml:space="preserve">broad </w:t>
      </w:r>
      <w:r w:rsidR="00DB0A53">
        <w:t xml:space="preserve">regime of </w:t>
      </w:r>
      <w:r w:rsidR="006B3D56" w:rsidRPr="007B7D0A">
        <w:t>exceptions</w:t>
      </w:r>
      <w:r w:rsidR="00DB0A53">
        <w:t xml:space="preserve">, including by </w:t>
      </w:r>
      <w:r w:rsidR="006B3D56" w:rsidRPr="007B7D0A">
        <w:t xml:space="preserve">subjecting </w:t>
      </w:r>
      <w:r w:rsidR="00DB0A53">
        <w:t xml:space="preserve">all exceptions </w:t>
      </w:r>
      <w:r w:rsidR="006B3D56" w:rsidRPr="007B7D0A">
        <w:t xml:space="preserve">to a harm test and </w:t>
      </w:r>
      <w:r w:rsidR="00DB0A53">
        <w:t xml:space="preserve">a </w:t>
      </w:r>
      <w:r w:rsidR="006B3D56" w:rsidRPr="007B7D0A">
        <w:t>man</w:t>
      </w:r>
      <w:r w:rsidR="00E22F41">
        <w:t>datory public interest override; and</w:t>
      </w:r>
    </w:p>
    <w:p w:rsidR="006B3D56" w:rsidRDefault="002C37AF" w:rsidP="00DB0A53">
      <w:pPr>
        <w:pStyle w:val="FootnoteText"/>
        <w:numPr>
          <w:ilvl w:val="0"/>
          <w:numId w:val="3"/>
        </w:numPr>
        <w:jc w:val="both"/>
      </w:pPr>
      <w:r>
        <w:t>to put</w:t>
      </w:r>
      <w:r w:rsidR="00E22F41">
        <w:t xml:space="preserve"> in place an effective system for enforcing the orders of the Information Commissioner (which are due to become binding through Bill C-58).  </w:t>
      </w:r>
    </w:p>
    <w:p w:rsidR="006B3D56" w:rsidRDefault="006B3D56" w:rsidP="00F9211A">
      <w:pPr>
        <w:pStyle w:val="FootnoteText"/>
        <w:jc w:val="both"/>
      </w:pPr>
    </w:p>
    <w:p w:rsidR="00D421ED" w:rsidRDefault="00E22F41" w:rsidP="00F9211A">
      <w:pPr>
        <w:pStyle w:val="FootnoteText"/>
        <w:jc w:val="both"/>
      </w:pPr>
      <w:r>
        <w:t xml:space="preserve">We </w:t>
      </w:r>
      <w:r w:rsidR="003B4952">
        <w:t>call on</w:t>
      </w:r>
      <w:r>
        <w:t xml:space="preserve"> the government to avoid including </w:t>
      </w:r>
      <w:r w:rsidR="00D421ED">
        <w:t xml:space="preserve">flexible language in this set of commitments. A most unfortunate example of this </w:t>
      </w:r>
      <w:r w:rsidR="003B4952">
        <w:t>is</w:t>
      </w:r>
      <w:r w:rsidR="00D421ED">
        <w:t xml:space="preserve"> the following commitment in Canada’s </w:t>
      </w:r>
      <w:r w:rsidR="00D421ED" w:rsidRPr="00D421ED">
        <w:rPr>
          <w:i/>
        </w:rPr>
        <w:t>Third Biennial Action Plan to the Open Government Partnership (2016-18)</w:t>
      </w:r>
      <w:r w:rsidR="00E865F5">
        <w:t xml:space="preserve">, under its more general commitment to reform </w:t>
      </w:r>
      <w:r w:rsidR="003B4952">
        <w:t>the</w:t>
      </w:r>
      <w:r w:rsidR="00E865F5">
        <w:t xml:space="preserve"> Access to Information Act</w:t>
      </w:r>
      <w:r w:rsidR="00D421ED">
        <w:t>:</w:t>
      </w:r>
    </w:p>
    <w:p w:rsidR="00D421ED" w:rsidRDefault="00D421ED" w:rsidP="00F9211A">
      <w:pPr>
        <w:pStyle w:val="FootnoteText"/>
        <w:jc w:val="both"/>
      </w:pPr>
    </w:p>
    <w:p w:rsidR="00D421ED" w:rsidRPr="00D421ED" w:rsidRDefault="00D421ED" w:rsidP="00D421ED">
      <w:pPr>
        <w:pStyle w:val="FootnoteText"/>
        <w:ind w:left="720" w:right="708"/>
        <w:jc w:val="both"/>
        <w:rPr>
          <w:sz w:val="20"/>
        </w:rPr>
      </w:pPr>
      <w:r w:rsidRPr="00D421ED">
        <w:rPr>
          <w:sz w:val="20"/>
        </w:rPr>
        <w:t xml:space="preserve">Ensuring that the </w:t>
      </w:r>
      <w:r w:rsidRPr="00D421ED">
        <w:rPr>
          <w:i/>
          <w:sz w:val="20"/>
        </w:rPr>
        <w:t>Access to Information Act</w:t>
      </w:r>
      <w:r w:rsidRPr="00D421ED">
        <w:rPr>
          <w:sz w:val="20"/>
        </w:rPr>
        <w:t xml:space="preserve"> applies appropriately to the Prime Minister's and Ministers' Offices, as well as administrative institutions that su</w:t>
      </w:r>
      <w:r>
        <w:rPr>
          <w:sz w:val="20"/>
        </w:rPr>
        <w:t>pport Parliament and the courts;</w:t>
      </w:r>
      <w:bookmarkStart w:id="2" w:name="_Ref383524286"/>
      <w:r w:rsidR="00BF6F83">
        <w:rPr>
          <w:rStyle w:val="FootnoteReference"/>
          <w:sz w:val="20"/>
        </w:rPr>
        <w:footnoteReference w:id="4"/>
      </w:r>
      <w:bookmarkEnd w:id="2"/>
    </w:p>
    <w:p w:rsidR="00D421ED" w:rsidRDefault="00D421ED" w:rsidP="00F9211A">
      <w:pPr>
        <w:pStyle w:val="FootnoteText"/>
        <w:jc w:val="both"/>
      </w:pPr>
    </w:p>
    <w:p w:rsidR="00E71CCA" w:rsidRDefault="00D421ED" w:rsidP="00F9211A">
      <w:pPr>
        <w:pStyle w:val="FootnoteText"/>
        <w:jc w:val="both"/>
      </w:pPr>
      <w:r>
        <w:t xml:space="preserve">The government chose to interpret “appropriately” here as </w:t>
      </w:r>
      <w:r w:rsidR="003B4952">
        <w:t xml:space="preserve">only </w:t>
      </w:r>
      <w:r w:rsidR="007D0B41">
        <w:t xml:space="preserve">creating </w:t>
      </w:r>
      <w:r>
        <w:t xml:space="preserve">an obligation to </w:t>
      </w:r>
      <w:r w:rsidR="00E71CCA">
        <w:t xml:space="preserve">publish on a proactive basis </w:t>
      </w:r>
      <w:r w:rsidR="007D0B41">
        <w:t>certain</w:t>
      </w:r>
      <w:r w:rsidR="00E640AD">
        <w:t xml:space="preserve"> types of</w:t>
      </w:r>
      <w:r w:rsidR="00E71CCA">
        <w:t xml:space="preserve"> information, most of which </w:t>
      </w:r>
      <w:r w:rsidR="00E640AD">
        <w:t xml:space="preserve">were </w:t>
      </w:r>
      <w:r w:rsidR="00E71CCA">
        <w:t xml:space="preserve">already being published. Given that the overwhelmingly dominant thrust of the Act is to require public bodies to respond to requests for information, it is hard to see how this could be considered an “appropriate” application to these other bodies, but the language in this commitment is flexible enough to </w:t>
      </w:r>
      <w:r w:rsidR="00E640AD">
        <w:t>accommodate</w:t>
      </w:r>
      <w:r w:rsidR="00E71CCA">
        <w:t xml:space="preserve"> that possibility. </w:t>
      </w:r>
      <w:r w:rsidR="0077331A">
        <w:t>As the</w:t>
      </w:r>
      <w:r w:rsidR="006B5549">
        <w:t xml:space="preserve"> mid-term</w:t>
      </w:r>
      <w:r w:rsidR="0077331A">
        <w:t xml:space="preserve"> </w:t>
      </w:r>
      <w:r w:rsidR="006B5549" w:rsidRPr="006B5549">
        <w:t>Indepen</w:t>
      </w:r>
      <w:r w:rsidR="006B5549">
        <w:t>dent Reporting Mecha</w:t>
      </w:r>
      <w:r w:rsidR="006D451A">
        <w:t xml:space="preserve">nism (IRM) report for Canada’s </w:t>
      </w:r>
      <w:r w:rsidR="006B5549">
        <w:t xml:space="preserve">plan </w:t>
      </w:r>
      <w:r w:rsidR="0077331A">
        <w:t>noted, “</w:t>
      </w:r>
      <w:r w:rsidR="0077331A" w:rsidRPr="0077331A">
        <w:t>uncertainty regarding the nature and extent of reforms which will ultimately be enacted (if any) substantially reduces the potential for impact”.</w:t>
      </w:r>
      <w:r w:rsidR="006B5549">
        <w:rPr>
          <w:rStyle w:val="FootnoteReference"/>
        </w:rPr>
        <w:footnoteReference w:id="5"/>
      </w:r>
    </w:p>
    <w:p w:rsidR="00E71CCA" w:rsidRDefault="00E71CCA" w:rsidP="00F9211A">
      <w:pPr>
        <w:pStyle w:val="FootnoteText"/>
        <w:jc w:val="both"/>
      </w:pPr>
    </w:p>
    <w:p w:rsidR="00847411" w:rsidRPr="00384659" w:rsidRDefault="00384659" w:rsidP="00F9211A">
      <w:pPr>
        <w:pStyle w:val="FootnoteText"/>
        <w:jc w:val="both"/>
        <w:rPr>
          <w:b/>
        </w:rPr>
      </w:pPr>
      <w:r w:rsidRPr="00384659">
        <w:rPr>
          <w:b/>
        </w:rPr>
        <w:t>The Need</w:t>
      </w:r>
      <w:r w:rsidR="00E71CCA" w:rsidRPr="00384659">
        <w:rPr>
          <w:b/>
        </w:rPr>
        <w:t xml:space="preserve"> </w:t>
      </w:r>
    </w:p>
    <w:p w:rsidR="00F9211A" w:rsidRPr="007B7D0A" w:rsidRDefault="00F9211A" w:rsidP="00F9211A">
      <w:pPr>
        <w:pStyle w:val="FootnoteText"/>
        <w:jc w:val="both"/>
      </w:pPr>
    </w:p>
    <w:p w:rsidR="000C1CD0" w:rsidRDefault="000C1CD0" w:rsidP="00112201">
      <w:pPr>
        <w:pStyle w:val="FootnoteText"/>
        <w:jc w:val="both"/>
      </w:pPr>
      <w:r>
        <w:t>O</w:t>
      </w:r>
      <w:r w:rsidR="00B9502F" w:rsidRPr="007B7D0A">
        <w:t>pen data</w:t>
      </w:r>
      <w:r>
        <w:t xml:space="preserve"> is a very important element of transparency</w:t>
      </w:r>
      <w:r w:rsidR="00B9502F" w:rsidRPr="007B7D0A">
        <w:t xml:space="preserve">, </w:t>
      </w:r>
      <w:r>
        <w:t xml:space="preserve">but </w:t>
      </w:r>
      <w:r w:rsidR="00AE56E4">
        <w:t xml:space="preserve">alone </w:t>
      </w:r>
      <w:r>
        <w:t xml:space="preserve">it is not enough. Open data is a form of proactive disclosure and better practice here is to reach out to citizens to try to </w:t>
      </w:r>
      <w:r w:rsidR="00BF6F83">
        <w:t>align</w:t>
      </w:r>
      <w:r>
        <w:t xml:space="preserve"> what is provided </w:t>
      </w:r>
      <w:r w:rsidR="00BF6F83">
        <w:t xml:space="preserve">proactively </w:t>
      </w:r>
      <w:r>
        <w:t xml:space="preserve">to what they are interested in receiving. Despite this, even in best practice systems, </w:t>
      </w:r>
      <w:r w:rsidR="00AE56E4">
        <w:t xml:space="preserve">the scope of </w:t>
      </w:r>
      <w:r>
        <w:t xml:space="preserve">open data </w:t>
      </w:r>
      <w:r w:rsidR="00AE56E4">
        <w:t xml:space="preserve">which is published </w:t>
      </w:r>
      <w:r>
        <w:t xml:space="preserve">remains significantly within the control of government. It is quite different with access to information, where citizens pull </w:t>
      </w:r>
      <w:r w:rsidR="00BF6F83">
        <w:t>down</w:t>
      </w:r>
      <w:r>
        <w:t xml:space="preserve"> the specific information they want. </w:t>
      </w:r>
      <w:r w:rsidR="00BF6F83">
        <w:t>As a result, g</w:t>
      </w:r>
      <w:r>
        <w:t xml:space="preserve">ood access to information </w:t>
      </w:r>
      <w:r w:rsidRPr="007B7D0A">
        <w:t>system</w:t>
      </w:r>
      <w:r>
        <w:t>s</w:t>
      </w:r>
      <w:r w:rsidRPr="007B7D0A">
        <w:t xml:space="preserve"> </w:t>
      </w:r>
      <w:r>
        <w:t>are able to combat</w:t>
      </w:r>
      <w:r w:rsidRPr="007B7D0A">
        <w:t xml:space="preserve"> the tendency of governments to resist publishing information that exposes wrongdoing or corruption, or which may be embarrassing</w:t>
      </w:r>
      <w:r w:rsidR="00BF6F83">
        <w:t>, something proactive disclosure is almost entirely unable to do</w:t>
      </w:r>
      <w:r w:rsidRPr="007B7D0A">
        <w:t>.</w:t>
      </w:r>
      <w:r>
        <w:t xml:space="preserve"> As such, </w:t>
      </w:r>
      <w:r w:rsidR="00B9502F" w:rsidRPr="007B7D0A">
        <w:t xml:space="preserve">the </w:t>
      </w:r>
      <w:r>
        <w:t xml:space="preserve">true </w:t>
      </w:r>
      <w:r w:rsidR="00B9502F" w:rsidRPr="007B7D0A">
        <w:t xml:space="preserve">goals of open government cannot be achieved with a weak or dysfunctional </w:t>
      </w:r>
      <w:r>
        <w:t>access</w:t>
      </w:r>
      <w:r w:rsidR="00B9502F" w:rsidRPr="007B7D0A">
        <w:t xml:space="preserve"> to information system. </w:t>
      </w:r>
    </w:p>
    <w:p w:rsidR="000C1CD0" w:rsidRDefault="000C1CD0" w:rsidP="00112201">
      <w:pPr>
        <w:pStyle w:val="FootnoteText"/>
        <w:jc w:val="both"/>
      </w:pPr>
    </w:p>
    <w:p w:rsidR="006B5549" w:rsidRPr="006B5549" w:rsidRDefault="000C1CD0" w:rsidP="006B5549">
      <w:pPr>
        <w:pStyle w:val="FootnoteText"/>
        <w:jc w:val="both"/>
      </w:pPr>
      <w:r>
        <w:t xml:space="preserve">There can be no doubt that Canada’s access to information system is weak and that at least an important part of the problem lies with the Access to Information Act. The </w:t>
      </w:r>
      <w:r w:rsidRPr="007B7D0A">
        <w:t xml:space="preserve">Act was </w:t>
      </w:r>
      <w:r>
        <w:t>passed in 1982</w:t>
      </w:r>
      <w:r w:rsidRPr="007B7D0A">
        <w:t xml:space="preserve"> and has not been substantially updated or improved since</w:t>
      </w:r>
      <w:r>
        <w:t xml:space="preserve"> (see below)</w:t>
      </w:r>
      <w:r w:rsidRPr="007B7D0A">
        <w:t xml:space="preserve">. </w:t>
      </w:r>
      <w:r>
        <w:t xml:space="preserve">The </w:t>
      </w:r>
      <w:r w:rsidRPr="007B7D0A">
        <w:t>RTI Rating</w:t>
      </w:r>
      <w:r>
        <w:t xml:space="preserve">, prepared by CLD and Access Info Europe, gives the Act just </w:t>
      </w:r>
      <w:r w:rsidR="00F1048C">
        <w:t xml:space="preserve">90 points out of a possible 150, well below top-scoring Mexico at 136 points. This places Canada in </w:t>
      </w:r>
      <w:r w:rsidRPr="007B7D0A">
        <w:t>49</w:t>
      </w:r>
      <w:r w:rsidRPr="007B7D0A">
        <w:rPr>
          <w:vertAlign w:val="superscript"/>
        </w:rPr>
        <w:t>th</w:t>
      </w:r>
      <w:r w:rsidRPr="007B7D0A">
        <w:t xml:space="preserve"> </w:t>
      </w:r>
      <w:r w:rsidR="00F1048C">
        <w:t xml:space="preserve">position </w:t>
      </w:r>
      <w:r w:rsidRPr="007B7D0A">
        <w:t>in the world</w:t>
      </w:r>
      <w:r w:rsidR="00F1048C">
        <w:t>, far below where a leading democracy should be</w:t>
      </w:r>
      <w:r w:rsidRPr="007B7D0A">
        <w:t>.</w:t>
      </w:r>
      <w:r w:rsidRPr="007B7D0A">
        <w:rPr>
          <w:vertAlign w:val="superscript"/>
        </w:rPr>
        <w:footnoteReference w:id="6"/>
      </w:r>
      <w:r w:rsidR="00F1048C">
        <w:t xml:space="preserve"> </w:t>
      </w:r>
      <w:r w:rsidR="00F1048C" w:rsidRPr="007B7D0A">
        <w:t xml:space="preserve">CLD, along with other </w:t>
      </w:r>
      <w:r w:rsidR="00F1048C">
        <w:t xml:space="preserve">access to </w:t>
      </w:r>
      <w:r w:rsidR="00F1048C" w:rsidRPr="007B7D0A">
        <w:t xml:space="preserve">information </w:t>
      </w:r>
      <w:r w:rsidR="00F1048C">
        <w:t>activists and, indeed, official actors</w:t>
      </w:r>
      <w:r w:rsidR="002872FE">
        <w:t xml:space="preserve"> such as the Information Commissioner of Canada and the </w:t>
      </w:r>
      <w:r w:rsidR="002872FE" w:rsidRPr="002872FE">
        <w:t>Standing Committee on Access to Information, Privacy and Ethics</w:t>
      </w:r>
      <w:r w:rsidR="00F1048C">
        <w:t>,</w:t>
      </w:r>
      <w:r w:rsidR="00C359DB">
        <w:rPr>
          <w:rStyle w:val="FootnoteReference"/>
        </w:rPr>
        <w:footnoteReference w:id="7"/>
      </w:r>
      <w:r w:rsidR="00F1048C">
        <w:t xml:space="preserve"> </w:t>
      </w:r>
      <w:r w:rsidR="00F1048C" w:rsidRPr="007B7D0A">
        <w:t xml:space="preserve">have long been calling for </w:t>
      </w:r>
      <w:r w:rsidR="00F1048C">
        <w:t xml:space="preserve">major </w:t>
      </w:r>
      <w:r w:rsidR="00F1048C" w:rsidRPr="007B7D0A">
        <w:t>reform of the Act.</w:t>
      </w:r>
      <w:r w:rsidR="006B5549">
        <w:t xml:space="preserve"> </w:t>
      </w:r>
      <w:r w:rsidR="00C359DB">
        <w:t>E</w:t>
      </w:r>
      <w:r w:rsidR="006B5549">
        <w:t xml:space="preserve">ven the government of Canada accepts </w:t>
      </w:r>
      <w:r w:rsidR="00C359DB">
        <w:t xml:space="preserve">that reform is </w:t>
      </w:r>
      <w:r w:rsidR="006B5549">
        <w:t>need</w:t>
      </w:r>
      <w:r w:rsidR="00C359DB">
        <w:t>ed</w:t>
      </w:r>
      <w:r w:rsidR="006B5549">
        <w:t xml:space="preserve">. In the </w:t>
      </w:r>
      <w:r w:rsidR="006B5549" w:rsidRPr="00D421ED">
        <w:rPr>
          <w:i/>
        </w:rPr>
        <w:t>Third Biennial Action Plan to the Open Government Partnership (2016-18)</w:t>
      </w:r>
      <w:r w:rsidR="006B5549">
        <w:t xml:space="preserve"> it committed to a quick round of initial reforms and then: </w:t>
      </w:r>
      <w:r w:rsidR="006B5549" w:rsidRPr="006B5549">
        <w:t>“</w:t>
      </w:r>
      <w:r w:rsidR="006B5549" w:rsidRPr="006B5549">
        <w:rPr>
          <w:szCs w:val="23"/>
        </w:rPr>
        <w:t xml:space="preserve">Once this first round of improvements has been implemented, undertake a full review of the </w:t>
      </w:r>
      <w:r w:rsidR="006B5549" w:rsidRPr="006B5549">
        <w:rPr>
          <w:i/>
          <w:iCs/>
          <w:szCs w:val="23"/>
        </w:rPr>
        <w:t xml:space="preserve">Access to Information Act </w:t>
      </w:r>
      <w:r w:rsidR="006B5549">
        <w:rPr>
          <w:szCs w:val="23"/>
        </w:rPr>
        <w:t>by no later than 2018.”</w:t>
      </w:r>
      <w:r w:rsidR="00BF6F83">
        <w:rPr>
          <w:rStyle w:val="FootnoteReference"/>
          <w:szCs w:val="23"/>
        </w:rPr>
        <w:footnoteReference w:id="8"/>
      </w:r>
    </w:p>
    <w:p w:rsidR="00C655B4" w:rsidRDefault="00C655B4" w:rsidP="00112201">
      <w:pPr>
        <w:pStyle w:val="FootnoteText"/>
        <w:jc w:val="both"/>
      </w:pPr>
    </w:p>
    <w:p w:rsidR="000C1CD0" w:rsidRPr="00C655B4" w:rsidRDefault="00E567D8" w:rsidP="00112201">
      <w:pPr>
        <w:pStyle w:val="FootnoteText"/>
        <w:jc w:val="both"/>
        <w:rPr>
          <w:b/>
        </w:rPr>
      </w:pPr>
      <w:r>
        <w:rPr>
          <w:b/>
        </w:rPr>
        <w:t>Current Situation</w:t>
      </w:r>
    </w:p>
    <w:p w:rsidR="00F9211A" w:rsidRPr="007B7D0A" w:rsidRDefault="00F9211A" w:rsidP="00F9211A">
      <w:pPr>
        <w:pStyle w:val="FootnoteText"/>
        <w:jc w:val="both"/>
        <w:rPr>
          <w:rFonts w:cs="Arial"/>
        </w:rPr>
      </w:pPr>
    </w:p>
    <w:p w:rsidR="00E865F5" w:rsidRDefault="00B9502F" w:rsidP="00E865F5">
      <w:pPr>
        <w:pStyle w:val="FootnoteText"/>
        <w:jc w:val="both"/>
      </w:pPr>
      <w:r w:rsidRPr="007B7D0A">
        <w:rPr>
          <w:rFonts w:cs="Arial"/>
        </w:rPr>
        <w:t xml:space="preserve">In </w:t>
      </w:r>
      <w:r w:rsidR="00E009B0">
        <w:rPr>
          <w:rFonts w:cs="Arial"/>
        </w:rPr>
        <w:t xml:space="preserve">the </w:t>
      </w:r>
      <w:r w:rsidRPr="007B7D0A">
        <w:rPr>
          <w:rFonts w:cs="Arial"/>
        </w:rPr>
        <w:t>2015</w:t>
      </w:r>
      <w:r w:rsidR="00E009B0">
        <w:rPr>
          <w:rFonts w:cs="Arial"/>
        </w:rPr>
        <w:t xml:space="preserve"> election campaign, the Liberal Party</w:t>
      </w:r>
      <w:r w:rsidR="00E567D8">
        <w:rPr>
          <w:rFonts w:cs="Arial"/>
        </w:rPr>
        <w:t>,</w:t>
      </w:r>
      <w:r w:rsidR="00E009B0">
        <w:rPr>
          <w:rFonts w:cs="Arial"/>
        </w:rPr>
        <w:t xml:space="preserve"> led by </w:t>
      </w:r>
      <w:r w:rsidR="00E009B0" w:rsidRPr="007B7D0A">
        <w:rPr>
          <w:rFonts w:cs="Arial"/>
        </w:rPr>
        <w:t>Justin Trudeau</w:t>
      </w:r>
      <w:r w:rsidR="00E567D8">
        <w:rPr>
          <w:rFonts w:cs="Arial"/>
        </w:rPr>
        <w:t>,</w:t>
      </w:r>
      <w:r w:rsidR="00E009B0">
        <w:rPr>
          <w:rFonts w:cs="Arial"/>
        </w:rPr>
        <w:t xml:space="preserve"> promised to reform the Access to </w:t>
      </w:r>
      <w:r w:rsidR="00E009B0" w:rsidRPr="00E865F5">
        <w:rPr>
          <w:rFonts w:cs="Arial"/>
        </w:rPr>
        <w:t>Information Act</w:t>
      </w:r>
      <w:r w:rsidRPr="00E865F5">
        <w:rPr>
          <w:rFonts w:cs="Arial"/>
        </w:rPr>
        <w:t xml:space="preserve">, </w:t>
      </w:r>
      <w:r w:rsidR="006D451A" w:rsidRPr="00E865F5">
        <w:rPr>
          <w:rFonts w:cs="Arial"/>
        </w:rPr>
        <w:t xml:space="preserve">something CLD </w:t>
      </w:r>
      <w:r w:rsidRPr="00E865F5">
        <w:rPr>
          <w:rFonts w:cs="Arial"/>
        </w:rPr>
        <w:t>welcomed</w:t>
      </w:r>
      <w:r w:rsidR="006D451A" w:rsidRPr="00E865F5">
        <w:rPr>
          <w:rFonts w:cs="Arial"/>
        </w:rPr>
        <w:t>.</w:t>
      </w:r>
      <w:r w:rsidR="006D451A" w:rsidRPr="00E865F5">
        <w:rPr>
          <w:rStyle w:val="FootnoteReference"/>
          <w:rFonts w:cs="Arial"/>
        </w:rPr>
        <w:footnoteReference w:id="9"/>
      </w:r>
      <w:r w:rsidR="00E865F5" w:rsidRPr="00E865F5">
        <w:rPr>
          <w:rFonts w:cs="Arial"/>
        </w:rPr>
        <w:t xml:space="preserve"> </w:t>
      </w:r>
      <w:r w:rsidR="00E567D8">
        <w:rPr>
          <w:rFonts w:cs="Arial"/>
        </w:rPr>
        <w:t>When the Liberals won a majority in the elections, t</w:t>
      </w:r>
      <w:r w:rsidR="00E865F5" w:rsidRPr="00E865F5">
        <w:rPr>
          <w:rFonts w:cs="Arial"/>
        </w:rPr>
        <w:t xml:space="preserve">his was duly followed up by including </w:t>
      </w:r>
      <w:r w:rsidR="00E865F5" w:rsidRPr="00E865F5">
        <w:t>instructions along these lines in the November 2015 mandate letters provided to various ministers</w:t>
      </w:r>
      <w:r w:rsidR="00E865F5">
        <w:t>.</w:t>
      </w:r>
      <w:r w:rsidR="00E865F5" w:rsidRPr="00E865F5">
        <w:rPr>
          <w:rStyle w:val="FootnoteReference"/>
        </w:rPr>
        <w:footnoteReference w:id="10"/>
      </w:r>
      <w:r w:rsidR="008B5EFA">
        <w:t xml:space="preserve"> The first concrete step</w:t>
      </w:r>
      <w:r w:rsidR="00E865F5">
        <w:t xml:space="preserve"> towards reform came with the </w:t>
      </w:r>
      <w:r w:rsidR="00E567D8">
        <w:t xml:space="preserve">May 2016 </w:t>
      </w:r>
      <w:r w:rsidR="00E865F5" w:rsidRPr="00E865F5">
        <w:t xml:space="preserve">Interim Directive on the Administration of the </w:t>
      </w:r>
      <w:r w:rsidR="00E865F5" w:rsidRPr="00E865F5">
        <w:rPr>
          <w:i/>
        </w:rPr>
        <w:t>Access to Information Act</w:t>
      </w:r>
      <w:r w:rsidR="00E865F5">
        <w:t xml:space="preserve"> which, among other things, waived </w:t>
      </w:r>
      <w:r w:rsidR="00E865F5" w:rsidRPr="00E865F5">
        <w:t xml:space="preserve">all fees for information </w:t>
      </w:r>
      <w:r w:rsidR="008B5EFA">
        <w:t>requests</w:t>
      </w:r>
      <w:r w:rsidR="00E865F5">
        <w:t xml:space="preserve"> </w:t>
      </w:r>
      <w:r w:rsidR="00E865F5" w:rsidRPr="00E865F5">
        <w:t xml:space="preserve">beyond the initial $5 </w:t>
      </w:r>
      <w:r w:rsidR="008B5EFA">
        <w:t xml:space="preserve">lodging </w:t>
      </w:r>
      <w:r w:rsidR="00E865F5" w:rsidRPr="00E865F5">
        <w:t xml:space="preserve">fee and </w:t>
      </w:r>
      <w:r w:rsidR="00E865F5">
        <w:t xml:space="preserve">required </w:t>
      </w:r>
      <w:r w:rsidR="00E865F5" w:rsidRPr="00E865F5">
        <w:t>public bodies to release information in machine-readable and reusable formats wherever possible.</w:t>
      </w:r>
      <w:r w:rsidR="00E865F5" w:rsidRPr="00E865F5">
        <w:rPr>
          <w:rStyle w:val="FootnoteReference"/>
        </w:rPr>
        <w:footnoteReference w:id="11"/>
      </w:r>
    </w:p>
    <w:p w:rsidR="00E865F5" w:rsidRDefault="00E865F5" w:rsidP="00E865F5">
      <w:pPr>
        <w:pStyle w:val="FootnoteText"/>
        <w:jc w:val="both"/>
      </w:pPr>
    </w:p>
    <w:p w:rsidR="00B9502F" w:rsidRPr="007B7D0A" w:rsidRDefault="00E865F5" w:rsidP="00112201">
      <w:pPr>
        <w:pStyle w:val="FootnoteText"/>
        <w:jc w:val="both"/>
        <w:rPr>
          <w:rFonts w:cs="Arial"/>
        </w:rPr>
      </w:pPr>
      <w:r>
        <w:t xml:space="preserve">As noted above, the </w:t>
      </w:r>
      <w:r w:rsidRPr="00D421ED">
        <w:rPr>
          <w:i/>
        </w:rPr>
        <w:t>Third Biennial Action Plan to the Open Government Partnership (2016-18)</w:t>
      </w:r>
      <w:r w:rsidR="00F0379E">
        <w:t xml:space="preserve"> promised a round of quick amendments to the Act, followed by, “a full review of the Act by no later than 2018”.</w:t>
      </w:r>
      <w:r w:rsidR="00F0379E">
        <w:rPr>
          <w:rStyle w:val="FootnoteReference"/>
        </w:rPr>
        <w:footnoteReference w:id="12"/>
      </w:r>
      <w:r w:rsidR="00F0379E">
        <w:t xml:space="preserve"> </w:t>
      </w:r>
      <w:r w:rsidR="00B9502F" w:rsidRPr="007B7D0A">
        <w:rPr>
          <w:rFonts w:cs="Arial"/>
        </w:rPr>
        <w:t xml:space="preserve">In our submission </w:t>
      </w:r>
      <w:r w:rsidR="00F0379E">
        <w:rPr>
          <w:rFonts w:cs="Arial"/>
        </w:rPr>
        <w:t xml:space="preserve">on the draft Plan </w:t>
      </w:r>
      <w:r w:rsidR="00B9502F" w:rsidRPr="007B7D0A">
        <w:rPr>
          <w:rFonts w:cs="Arial"/>
        </w:rPr>
        <w:t xml:space="preserve">in </w:t>
      </w:r>
      <w:r w:rsidR="00F0379E">
        <w:rPr>
          <w:rFonts w:cs="Arial"/>
        </w:rPr>
        <w:t xml:space="preserve">May </w:t>
      </w:r>
      <w:r w:rsidR="00B9502F" w:rsidRPr="007B7D0A">
        <w:rPr>
          <w:rFonts w:cs="Arial"/>
        </w:rPr>
        <w:t>2016, we stated that we saw no need or justification</w:t>
      </w:r>
      <w:r w:rsidR="00112201" w:rsidRPr="007B7D0A">
        <w:rPr>
          <w:rFonts w:cs="Arial"/>
        </w:rPr>
        <w:t xml:space="preserve"> </w:t>
      </w:r>
      <w:r w:rsidR="00F9211A" w:rsidRPr="007B7D0A">
        <w:rPr>
          <w:rFonts w:cs="Arial"/>
        </w:rPr>
        <w:t>for delaying a full review of the Act until 2018</w:t>
      </w:r>
      <w:r w:rsidR="00B9502F" w:rsidRPr="007B7D0A">
        <w:rPr>
          <w:rFonts w:cs="Arial"/>
        </w:rPr>
        <w:t xml:space="preserve"> given the urgency of the need for reform and our worry that this would </w:t>
      </w:r>
      <w:r w:rsidR="00F9211A" w:rsidRPr="007B7D0A">
        <w:rPr>
          <w:rFonts w:cs="Arial"/>
        </w:rPr>
        <w:t xml:space="preserve">mean that actual amendments </w:t>
      </w:r>
      <w:r w:rsidR="00B9502F" w:rsidRPr="007B7D0A">
        <w:rPr>
          <w:rFonts w:cs="Arial"/>
        </w:rPr>
        <w:t xml:space="preserve">might not be </w:t>
      </w:r>
      <w:r w:rsidR="00F9211A" w:rsidRPr="007B7D0A">
        <w:rPr>
          <w:rFonts w:cs="Arial"/>
        </w:rPr>
        <w:t>tabled before Parliament until after the next election.</w:t>
      </w:r>
      <w:r w:rsidR="00F0379E">
        <w:rPr>
          <w:rStyle w:val="FootnoteReference"/>
          <w:rFonts w:cs="Arial"/>
        </w:rPr>
        <w:footnoteReference w:id="13"/>
      </w:r>
      <w:r w:rsidR="008A7B48">
        <w:rPr>
          <w:rFonts w:cs="Arial"/>
        </w:rPr>
        <w:t xml:space="preserve"> These concerns appear</w:t>
      </w:r>
      <w:r w:rsidR="00F0379E">
        <w:rPr>
          <w:rFonts w:cs="Arial"/>
        </w:rPr>
        <w:t xml:space="preserve"> to </w:t>
      </w:r>
      <w:r w:rsidR="008A7B48">
        <w:rPr>
          <w:rFonts w:cs="Arial"/>
        </w:rPr>
        <w:t xml:space="preserve">have </w:t>
      </w:r>
      <w:r w:rsidR="00F0379E">
        <w:rPr>
          <w:rFonts w:cs="Arial"/>
        </w:rPr>
        <w:t>be</w:t>
      </w:r>
      <w:r w:rsidR="008A7B48">
        <w:rPr>
          <w:rFonts w:cs="Arial"/>
        </w:rPr>
        <w:t>en</w:t>
      </w:r>
      <w:r w:rsidR="00F0379E">
        <w:rPr>
          <w:rFonts w:cs="Arial"/>
        </w:rPr>
        <w:t xml:space="preserve"> justified</w:t>
      </w:r>
      <w:r w:rsidR="008A7B48">
        <w:rPr>
          <w:rFonts w:cs="Arial"/>
        </w:rPr>
        <w:t>. I</w:t>
      </w:r>
      <w:r w:rsidR="00B9502F" w:rsidRPr="007B7D0A">
        <w:rPr>
          <w:rFonts w:cs="Arial"/>
        </w:rPr>
        <w:t>n March 2017, the government announced that there would be delays in the first phase</w:t>
      </w:r>
      <w:r w:rsidR="00F0379E">
        <w:rPr>
          <w:rFonts w:cs="Arial"/>
        </w:rPr>
        <w:t>.</w:t>
      </w:r>
      <w:r w:rsidR="00B9502F" w:rsidRPr="007B7D0A">
        <w:rPr>
          <w:rFonts w:cs="Arial"/>
        </w:rPr>
        <w:t xml:space="preserve"> </w:t>
      </w:r>
      <w:r w:rsidR="00F0379E">
        <w:rPr>
          <w:rFonts w:cs="Arial"/>
        </w:rPr>
        <w:t>This prompted</w:t>
      </w:r>
      <w:r w:rsidR="00B9502F" w:rsidRPr="007B7D0A">
        <w:rPr>
          <w:rFonts w:cs="Arial"/>
        </w:rPr>
        <w:t xml:space="preserve"> CLD to mobilise over 60 Canadian organisations and individuals to sign a letter to the Prime Minister expressing their concerns and urging the government to continue to move forward with the promised reforms.</w:t>
      </w:r>
      <w:r w:rsidR="00B9502F" w:rsidRPr="007B7D0A">
        <w:rPr>
          <w:rFonts w:cs="Arial"/>
          <w:vertAlign w:val="superscript"/>
        </w:rPr>
        <w:footnoteReference w:id="14"/>
      </w:r>
      <w:r w:rsidR="00B9502F" w:rsidRPr="007B7D0A">
        <w:rPr>
          <w:rFonts w:cs="Arial"/>
        </w:rPr>
        <w:t xml:space="preserve"> </w:t>
      </w:r>
      <w:r w:rsidR="009F1E09">
        <w:rPr>
          <w:rFonts w:cs="Arial"/>
        </w:rPr>
        <w:t>As we prepare this submission, the first round of reforms have just gone through the first reading in the Senate,</w:t>
      </w:r>
      <w:r w:rsidR="009F1E09">
        <w:rPr>
          <w:rStyle w:val="FootnoteReference"/>
          <w:rFonts w:cs="Arial"/>
        </w:rPr>
        <w:footnoteReference w:id="15"/>
      </w:r>
      <w:r w:rsidR="009F1E09">
        <w:rPr>
          <w:rFonts w:cs="Arial"/>
        </w:rPr>
        <w:t xml:space="preserve"> rendering it almost impossible that a second round of reforms would be completed by </w:t>
      </w:r>
      <w:r w:rsidR="008A7B48">
        <w:rPr>
          <w:rFonts w:cs="Arial"/>
        </w:rPr>
        <w:t xml:space="preserve">the </w:t>
      </w:r>
      <w:r w:rsidR="009F1E09">
        <w:rPr>
          <w:rFonts w:cs="Arial"/>
        </w:rPr>
        <w:t xml:space="preserve">end </w:t>
      </w:r>
      <w:r w:rsidR="008A7B48">
        <w:rPr>
          <w:rFonts w:cs="Arial"/>
        </w:rPr>
        <w:t xml:space="preserve">of </w:t>
      </w:r>
      <w:r w:rsidR="009F1E09">
        <w:rPr>
          <w:rFonts w:cs="Arial"/>
        </w:rPr>
        <w:t>2018 as promised.</w:t>
      </w:r>
      <w:r w:rsidR="009F1E09" w:rsidRPr="007B7D0A">
        <w:rPr>
          <w:rFonts w:cs="Arial"/>
        </w:rPr>
        <w:t xml:space="preserve"> </w:t>
      </w:r>
    </w:p>
    <w:p w:rsidR="00B9502F" w:rsidRPr="007B7D0A" w:rsidRDefault="00B9502F" w:rsidP="00112201">
      <w:pPr>
        <w:pStyle w:val="FootnoteText"/>
        <w:jc w:val="both"/>
        <w:rPr>
          <w:rFonts w:cs="Arial"/>
        </w:rPr>
      </w:pPr>
    </w:p>
    <w:p w:rsidR="00FB5E41" w:rsidRDefault="00E567D8" w:rsidP="00055C18">
      <w:pPr>
        <w:pStyle w:val="FootnoteText"/>
        <w:jc w:val="both"/>
        <w:rPr>
          <w:lang w:val="en-CA"/>
        </w:rPr>
      </w:pPr>
      <w:r>
        <w:rPr>
          <w:rFonts w:cs="Arial"/>
        </w:rPr>
        <w:t xml:space="preserve">These concerns are significantly exacerbated by the </w:t>
      </w:r>
      <w:r w:rsidR="00C0755E">
        <w:rPr>
          <w:rFonts w:cs="Arial"/>
        </w:rPr>
        <w:t xml:space="preserve">at best </w:t>
      </w:r>
      <w:r>
        <w:rPr>
          <w:rFonts w:cs="Arial"/>
        </w:rPr>
        <w:t xml:space="preserve">extremely modest nature of the first round of reforms, </w:t>
      </w:r>
      <w:r w:rsidR="00B05C45">
        <w:rPr>
          <w:rFonts w:cs="Arial"/>
        </w:rPr>
        <w:t xml:space="preserve">in the form of </w:t>
      </w:r>
      <w:r w:rsidR="00B05C45" w:rsidRPr="007B7D0A">
        <w:t>Bill C-58 to amend the Access to Information Act</w:t>
      </w:r>
      <w:r w:rsidR="00B05C45">
        <w:t xml:space="preserve">, </w:t>
      </w:r>
      <w:r w:rsidR="00B05C45" w:rsidRPr="007B7D0A">
        <w:t>introduced in the House of Commons</w:t>
      </w:r>
      <w:r w:rsidR="00B05C45">
        <w:t xml:space="preserve"> on </w:t>
      </w:r>
      <w:r w:rsidR="00B05C45" w:rsidRPr="007B7D0A">
        <w:t>19 June 2017.</w:t>
      </w:r>
      <w:r w:rsidR="00B05C45" w:rsidRPr="007B7D0A">
        <w:rPr>
          <w:rStyle w:val="FootnoteReference"/>
        </w:rPr>
        <w:footnoteReference w:id="16"/>
      </w:r>
      <w:r w:rsidR="00B05C45">
        <w:t xml:space="preserve"> Bill C-58 </w:t>
      </w:r>
      <w:r>
        <w:rPr>
          <w:rFonts w:cs="Arial"/>
        </w:rPr>
        <w:t xml:space="preserve">signally failed </w:t>
      </w:r>
      <w:r w:rsidR="005901AF">
        <w:rPr>
          <w:rFonts w:cs="Arial"/>
        </w:rPr>
        <w:t>both to do what the government had promised</w:t>
      </w:r>
      <w:r w:rsidR="005901AF">
        <w:rPr>
          <w:rStyle w:val="FootnoteReference"/>
          <w:rFonts w:cs="Arial"/>
        </w:rPr>
        <w:footnoteReference w:id="17"/>
      </w:r>
      <w:r w:rsidR="005901AF">
        <w:rPr>
          <w:rFonts w:cs="Arial"/>
        </w:rPr>
        <w:t xml:space="preserve"> and to introduce the needed reforms to the Access to Information Act. </w:t>
      </w:r>
      <w:r w:rsidR="00B05C45">
        <w:rPr>
          <w:rFonts w:cs="Arial"/>
        </w:rPr>
        <w:t>Indeed, in her report on the Bill, the Information Commissioner of Canada claimed that, if passed, the Bill would, “</w:t>
      </w:r>
      <w:r w:rsidR="005901AF" w:rsidRPr="00B05C45">
        <w:rPr>
          <w:rFonts w:cs="Arial"/>
        </w:rPr>
        <w:t>result in a regression of existing rights.”</w:t>
      </w:r>
      <w:r w:rsidR="00B05C45">
        <w:rPr>
          <w:rStyle w:val="FootnoteReference"/>
          <w:rFonts w:cs="Arial"/>
        </w:rPr>
        <w:footnoteReference w:id="18"/>
      </w:r>
      <w:r w:rsidR="00055C18">
        <w:rPr>
          <w:rFonts w:cs="Arial"/>
        </w:rPr>
        <w:t xml:space="preserve"> On International Right to Know Day, 28 September 2018, </w:t>
      </w:r>
      <w:r w:rsidR="005D6A43" w:rsidRPr="007B7D0A">
        <w:t xml:space="preserve">CLD, together with 38 organisations and 26 other </w:t>
      </w:r>
      <w:r w:rsidR="00C0755E">
        <w:t>stakeholders,</w:t>
      </w:r>
      <w:r w:rsidR="005D6A43" w:rsidRPr="007B7D0A">
        <w:t xml:space="preserve"> </w:t>
      </w:r>
      <w:r w:rsidR="00C0755E">
        <w:t xml:space="preserve">sent </w:t>
      </w:r>
      <w:r w:rsidR="005D6A43" w:rsidRPr="007B7D0A">
        <w:t xml:space="preserve">a joint letter to the </w:t>
      </w:r>
      <w:r w:rsidR="005D6A43" w:rsidRPr="007B7D0A">
        <w:rPr>
          <w:lang w:val="en-CA"/>
        </w:rPr>
        <w:t xml:space="preserve">President of the Treasury Board, Scott Brison, demanding that </w:t>
      </w:r>
      <w:r w:rsidR="005D6A43" w:rsidRPr="007B7D0A">
        <w:t xml:space="preserve">Bill C-58 be scrapped and </w:t>
      </w:r>
      <w:r w:rsidR="00C0755E">
        <w:t xml:space="preserve">that </w:t>
      </w:r>
      <w:r w:rsidR="005D6A43" w:rsidRPr="007B7D0A">
        <w:rPr>
          <w:lang w:val="en-CA"/>
        </w:rPr>
        <w:t xml:space="preserve">a bill that would address seriously the broken </w:t>
      </w:r>
      <w:r w:rsidR="00C0755E">
        <w:rPr>
          <w:lang w:val="en-CA"/>
        </w:rPr>
        <w:t xml:space="preserve">Canadian </w:t>
      </w:r>
      <w:r w:rsidR="005D6A43" w:rsidRPr="007B7D0A">
        <w:rPr>
          <w:lang w:val="en-CA"/>
        </w:rPr>
        <w:t>access to information system be brought forward.</w:t>
      </w:r>
      <w:r w:rsidR="005D6A43" w:rsidRPr="007B7D0A">
        <w:rPr>
          <w:rStyle w:val="FootnoteReference"/>
        </w:rPr>
        <w:footnoteReference w:id="19"/>
      </w:r>
    </w:p>
    <w:p w:rsidR="00FB5E41" w:rsidRDefault="00FB5E41" w:rsidP="00055C18">
      <w:pPr>
        <w:pStyle w:val="FootnoteText"/>
        <w:jc w:val="both"/>
        <w:rPr>
          <w:lang w:val="en-CA"/>
        </w:rPr>
      </w:pPr>
    </w:p>
    <w:p w:rsidR="005D6A43" w:rsidRPr="00FB5E41" w:rsidRDefault="00D82729" w:rsidP="00055C18">
      <w:pPr>
        <w:pStyle w:val="FootnoteText"/>
        <w:jc w:val="both"/>
      </w:pPr>
      <w:r>
        <w:rPr>
          <w:lang w:val="en-CA"/>
        </w:rPr>
        <w:t xml:space="preserve">CLD’s </w:t>
      </w:r>
      <w:r w:rsidR="00FB5E41">
        <w:rPr>
          <w:lang w:val="en-CA"/>
        </w:rPr>
        <w:t xml:space="preserve">initial </w:t>
      </w:r>
      <w:r>
        <w:rPr>
          <w:lang w:val="en-CA"/>
        </w:rPr>
        <w:t xml:space="preserve">analysis </w:t>
      </w:r>
      <w:r w:rsidR="00FB5E41">
        <w:rPr>
          <w:lang w:val="en-CA"/>
        </w:rPr>
        <w:t xml:space="preserve">of </w:t>
      </w:r>
      <w:r>
        <w:rPr>
          <w:lang w:val="en-CA"/>
        </w:rPr>
        <w:t>Bill C-58</w:t>
      </w:r>
      <w:r w:rsidR="00FB5E41">
        <w:rPr>
          <w:lang w:val="en-CA"/>
        </w:rPr>
        <w:t xml:space="preserve"> indicated that</w:t>
      </w:r>
      <w:r>
        <w:rPr>
          <w:lang w:val="en-CA"/>
        </w:rPr>
        <w:t xml:space="preserve">, if passed in </w:t>
      </w:r>
      <w:r w:rsidR="00FB5E41">
        <w:rPr>
          <w:lang w:val="en-CA"/>
        </w:rPr>
        <w:t>that form</w:t>
      </w:r>
      <w:r>
        <w:rPr>
          <w:lang w:val="en-CA"/>
        </w:rPr>
        <w:t xml:space="preserve">, </w:t>
      </w:r>
      <w:r w:rsidR="00FB5E41">
        <w:rPr>
          <w:lang w:val="en-CA"/>
        </w:rPr>
        <w:t xml:space="preserve">it </w:t>
      </w:r>
      <w:r>
        <w:rPr>
          <w:lang w:val="en-CA"/>
        </w:rPr>
        <w:t>would only earn Canada an additional two points on the RTI Rating.</w:t>
      </w:r>
      <w:r w:rsidR="006270F1">
        <w:rPr>
          <w:rStyle w:val="FootnoteReference"/>
          <w:lang w:val="en-CA"/>
        </w:rPr>
        <w:footnoteReference w:id="20"/>
      </w:r>
      <w:r w:rsidR="00FB5E41">
        <w:rPr>
          <w:lang w:val="en-CA"/>
        </w:rPr>
        <w:t xml:space="preserve"> Our more recent analysis of </w:t>
      </w:r>
      <w:r w:rsidR="00C0755E">
        <w:rPr>
          <w:lang w:val="en-CA"/>
        </w:rPr>
        <w:t xml:space="preserve">the version of </w:t>
      </w:r>
      <w:r w:rsidR="00FB5E41">
        <w:rPr>
          <w:lang w:val="en-CA"/>
        </w:rPr>
        <w:t xml:space="preserve">the Bill </w:t>
      </w:r>
      <w:r w:rsidR="00C0755E">
        <w:rPr>
          <w:lang w:val="en-CA"/>
        </w:rPr>
        <w:t xml:space="preserve">that </w:t>
      </w:r>
      <w:r w:rsidR="00FB5E41">
        <w:rPr>
          <w:lang w:val="en-CA"/>
        </w:rPr>
        <w:t xml:space="preserve">was </w:t>
      </w:r>
      <w:r w:rsidR="005D6A43" w:rsidRPr="007B7D0A">
        <w:t xml:space="preserve">passed at the third </w:t>
      </w:r>
      <w:r w:rsidR="00C0755E">
        <w:t xml:space="preserve">and final </w:t>
      </w:r>
      <w:r w:rsidR="005D6A43" w:rsidRPr="007B7D0A">
        <w:t>reading of the House of Commons on 6 December 2017</w:t>
      </w:r>
      <w:r w:rsidR="00FB5E41">
        <w:rPr>
          <w:rStyle w:val="FootnoteReference"/>
        </w:rPr>
        <w:footnoteReference w:id="21"/>
      </w:r>
      <w:r w:rsidR="00FB5E41">
        <w:t xml:space="preserve"> shows that only very minor improvements have been made.</w:t>
      </w:r>
      <w:r w:rsidR="00FB5E41">
        <w:rPr>
          <w:rStyle w:val="FootnoteReference"/>
        </w:rPr>
        <w:footnoteReference w:id="22"/>
      </w:r>
      <w:r w:rsidR="00BC1147">
        <w:t xml:space="preserve"> It is more than clear that the previous need to reform the Act remains as </w:t>
      </w:r>
      <w:r w:rsidR="002C48D5">
        <w:t>poignant</w:t>
      </w:r>
      <w:r w:rsidR="00BC1147">
        <w:t xml:space="preserve"> as ever.</w:t>
      </w:r>
    </w:p>
    <w:p w:rsidR="00130598" w:rsidRPr="007B7D0A" w:rsidRDefault="00130598"/>
    <w:sectPr w:rsidR="00130598" w:rsidRPr="007B7D0A" w:rsidSect="007B7D0A">
      <w:headerReference w:type="default" r:id="rId10"/>
      <w:footerReference w:type="even" r:id="rId11"/>
      <w:footerReference w:type="default" r:id="rId12"/>
      <w:footerReference w:type="first" r:id="rId13"/>
      <w:pgSz w:w="12240" w:h="15840"/>
      <w:pgMar w:top="1440" w:right="1797" w:bottom="1928" w:left="1797" w:header="709" w:footer="709" w:gutter="0"/>
      <w:pgNumType w:start="1"/>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48" w:rsidRDefault="008A7B48" w:rsidP="00F9211A">
      <w:r>
        <w:separator/>
      </w:r>
    </w:p>
  </w:endnote>
  <w:endnote w:type="continuationSeparator" w:id="0">
    <w:p w:rsidR="008A7B48" w:rsidRDefault="008A7B48" w:rsidP="00F9211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Calibri"/>
    <w:panose1 w:val="020F050202020403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altName w:val="Cambria"/>
    <w:charset w:val="00"/>
    <w:family w:val="swiss"/>
    <w:pitch w:val="variable"/>
    <w:sig w:usb0="E0002AFF" w:usb1="C000247B" w:usb2="00000009" w:usb3="00000000" w:csb0="000001FF" w:csb1="00000000"/>
  </w:font>
  <w:font w:name="Yu Gothic Light">
    <w:altName w:val="Cambria"/>
    <w:charset w:val="80"/>
    <w:family w:val="swiss"/>
    <w:pitch w:val="variable"/>
    <w:sig w:usb0="E00002FF" w:usb1="2AC7FDFF" w:usb2="00000016" w:usb3="00000000" w:csb0="0002009F" w:csb1="00000000"/>
  </w:font>
  <w:font w:name="Tahoma">
    <w:panose1 w:val="020B0604030504040204"/>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0π7È˛">
    <w:altName w:val="Cambria"/>
    <w:panose1 w:val="00000000000000000000"/>
    <w:charset w:val="4D"/>
    <w:family w:val="auto"/>
    <w:notTrueType/>
    <w:pitch w:val="default"/>
    <w:sig w:usb0="00000003" w:usb1="00000000" w:usb2="00000000" w:usb3="00000000" w:csb0="00000001" w:csb1="00000000"/>
  </w:font>
  <w:font w:name="0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48" w:rsidRDefault="008A7B48" w:rsidP="00130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7B48" w:rsidRDefault="008A7B4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48" w:rsidRDefault="008A7B48" w:rsidP="00130598">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C48D5">
      <w:rPr>
        <w:rStyle w:val="PageNumber"/>
        <w:noProof/>
      </w:rPr>
      <w:t>5</w:t>
    </w:r>
    <w:r>
      <w:rPr>
        <w:rStyle w:val="PageNumber"/>
      </w:rPr>
      <w:fldChar w:fldCharType="end"/>
    </w:r>
    <w:r>
      <w:rPr>
        <w:rStyle w:val="PageNumber"/>
      </w:rPr>
      <w:t xml:space="preserve"> -</w:t>
    </w:r>
  </w:p>
  <w:p w:rsidR="008A7B48" w:rsidRDefault="008A7B48" w:rsidP="007B7D0A">
    <w:pPr>
      <w:pStyle w:val="Footer"/>
      <w:framePr w:wrap="around" w:vAnchor="text" w:hAnchor="page" w:x="1798" w:y="-627"/>
      <w:tabs>
        <w:tab w:val="clear" w:pos="4320"/>
        <w:tab w:val="center" w:pos="3969"/>
      </w:tabs>
      <w:jc w:val="center"/>
      <w:rPr>
        <w:i/>
        <w:sz w:val="22"/>
      </w:rPr>
    </w:pPr>
    <w:r>
      <w:rPr>
        <w:i/>
        <w:sz w:val="22"/>
      </w:rPr>
      <w:t>The Centre for Law and Democracy is a non-profit human rights organisation working internationally to provide legal expertise on foundational rights for democracy</w:t>
    </w:r>
  </w:p>
  <w:p w:rsidR="008A7B48" w:rsidRDefault="008A7B4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48" w:rsidRDefault="008A7B48">
    <w:pPr>
      <w:pStyle w:val="Footer"/>
      <w:tabs>
        <w:tab w:val="clear" w:pos="4320"/>
        <w:tab w:val="center" w:pos="3969"/>
      </w:tabs>
      <w:jc w:val="center"/>
      <w:rPr>
        <w:i/>
        <w:sz w:val="22"/>
      </w:rPr>
    </w:pPr>
    <w:r>
      <w:rPr>
        <w:i/>
        <w:sz w:val="22"/>
      </w:rPr>
      <w:t>The Centre for Law and Democracy is a non-profit human rights organisation working internationally to provide legal expertise on foundational rights for democracy</w:t>
    </w:r>
  </w:p>
  <w:p w:rsidR="008A7B48" w:rsidRDefault="008A7B48">
    <w:pPr>
      <w:pStyle w:val="Footer"/>
      <w:tabs>
        <w:tab w:val="clear" w:pos="4320"/>
        <w:tab w:val="center" w:pos="3969"/>
      </w:tabs>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48" w:rsidRDefault="008A7B48" w:rsidP="00F9211A">
      <w:r>
        <w:separator/>
      </w:r>
    </w:p>
  </w:footnote>
  <w:footnote w:type="continuationSeparator" w:id="0">
    <w:p w:rsidR="008A7B48" w:rsidRDefault="008A7B48" w:rsidP="00F9211A">
      <w:r>
        <w:continuationSeparator/>
      </w:r>
    </w:p>
  </w:footnote>
  <w:footnote w:id="1">
    <w:p w:rsidR="008A7B48" w:rsidRPr="00EC6EBB" w:rsidRDefault="008A7B48">
      <w:pPr>
        <w:pStyle w:val="FootnoteText"/>
        <w:rPr>
          <w:sz w:val="20"/>
        </w:rPr>
      </w:pPr>
      <w:r w:rsidRPr="00EC6EBB">
        <w:rPr>
          <w:rStyle w:val="FootnoteReference"/>
          <w:sz w:val="20"/>
        </w:rPr>
        <w:footnoteRef/>
      </w:r>
      <w:r w:rsidRPr="00EC6EBB">
        <w:rPr>
          <w:sz w:val="20"/>
        </w:rPr>
        <w:t xml:space="preserve"> CLD helped the </w:t>
      </w:r>
      <w:r>
        <w:rPr>
          <w:sz w:val="20"/>
        </w:rPr>
        <w:t>Canadian</w:t>
      </w:r>
      <w:r w:rsidRPr="00EC6EBB">
        <w:rPr>
          <w:sz w:val="20"/>
        </w:rPr>
        <w:t xml:space="preserve"> government organise a consultation in Halifax on 16 March 2018. Details are available at: https://www.eventbrite.com/e/canadas-2018-2020-open-government-plan-provide-your-input-tickets-43765002300#.</w:t>
      </w:r>
    </w:p>
  </w:footnote>
  <w:footnote w:id="2">
    <w:p w:rsidR="008A7B48" w:rsidRPr="00E01D45" w:rsidRDefault="008A7B48" w:rsidP="00B9502F">
      <w:pPr>
        <w:pStyle w:val="FootnoteText"/>
        <w:rPr>
          <w:rFonts w:ascii="Cambria" w:hAnsi="Cambria"/>
          <w:sz w:val="20"/>
        </w:rPr>
      </w:pPr>
      <w:r w:rsidRPr="00E01D45">
        <w:rPr>
          <w:rStyle w:val="FootnoteReference"/>
          <w:rFonts w:ascii="Cambria" w:hAnsi="Cambria"/>
          <w:sz w:val="20"/>
        </w:rPr>
        <w:footnoteRef/>
      </w:r>
      <w:r w:rsidRPr="00E01D45">
        <w:rPr>
          <w:rFonts w:ascii="Cambria" w:hAnsi="Cambria"/>
          <w:sz w:val="20"/>
        </w:rPr>
        <w:t xml:space="preserve"> CLD, </w:t>
      </w:r>
      <w:r w:rsidRPr="00E01D45">
        <w:rPr>
          <w:rFonts w:ascii="Cambria" w:hAnsi="Cambria" w:cstheme="minorBidi"/>
          <w:sz w:val="20"/>
          <w:lang w:val="en-CA" w:eastAsia="ja-JP"/>
        </w:rPr>
        <w:t>Open Government Partnership (OGP)</w:t>
      </w:r>
      <w:r>
        <w:rPr>
          <w:rFonts w:ascii="Cambria" w:hAnsi="Cambria" w:cstheme="minorBidi"/>
          <w:sz w:val="20"/>
          <w:lang w:val="en-CA" w:eastAsia="ja-JP"/>
        </w:rPr>
        <w:t>:</w:t>
      </w:r>
      <w:r w:rsidRPr="00E01D45">
        <w:rPr>
          <w:rFonts w:ascii="Cambria" w:hAnsi="Cambria" w:cstheme="minorBidi"/>
          <w:sz w:val="20"/>
          <w:lang w:val="en-CA" w:eastAsia="ja-JP"/>
        </w:rPr>
        <w:t xml:space="preserve"> Progress Review of First Year Implementation of t</w:t>
      </w:r>
      <w:r w:rsidRPr="00E01D45">
        <w:rPr>
          <w:rFonts w:ascii="Cambria" w:hAnsi="Cambria"/>
          <w:sz w:val="20"/>
          <w:lang w:val="en-CA"/>
        </w:rPr>
        <w:t xml:space="preserve">he Action Plan, September 2013. Available at: </w:t>
      </w:r>
      <w:hyperlink r:id="rId1" w:history="1">
        <w:r w:rsidRPr="00E01D45">
          <w:rPr>
            <w:rStyle w:val="Hyperlink"/>
            <w:rFonts w:ascii="Cambria" w:hAnsi="Cambria"/>
            <w:sz w:val="20"/>
            <w:lang w:val="en-CA"/>
          </w:rPr>
          <w:t>http://www.law-democracy.org/live/wp-content/uploads/2013/09/Canada.Y1-assessment.pdf</w:t>
        </w:r>
      </w:hyperlink>
      <w:r w:rsidRPr="00E01D45">
        <w:rPr>
          <w:rFonts w:ascii="Cambria" w:hAnsi="Cambria"/>
          <w:sz w:val="20"/>
          <w:lang w:val="en-CA"/>
        </w:rPr>
        <w:t xml:space="preserve">. </w:t>
      </w:r>
      <w:r>
        <w:rPr>
          <w:rFonts w:ascii="Cambria" w:hAnsi="Cambria"/>
          <w:sz w:val="20"/>
          <w:lang w:val="en-CA"/>
        </w:rPr>
        <w:t xml:space="preserve">There was very limited opportunity to provide written inputs into the development of the first Canadian Action Plan. </w:t>
      </w:r>
    </w:p>
  </w:footnote>
  <w:footnote w:id="3">
    <w:p w:rsidR="008A7B48" w:rsidRPr="00E01D45" w:rsidRDefault="008A7B48" w:rsidP="00B9502F">
      <w:pPr>
        <w:pStyle w:val="FootnoteText"/>
        <w:rPr>
          <w:sz w:val="20"/>
        </w:rPr>
      </w:pPr>
      <w:r w:rsidRPr="00E01D45">
        <w:rPr>
          <w:rStyle w:val="FootnoteReference"/>
          <w:rFonts w:ascii="Cambria" w:hAnsi="Cambria"/>
          <w:sz w:val="20"/>
        </w:rPr>
        <w:footnoteRef/>
      </w:r>
      <w:r w:rsidRPr="00E01D45">
        <w:rPr>
          <w:rFonts w:ascii="Cambria" w:hAnsi="Cambria"/>
          <w:sz w:val="20"/>
        </w:rPr>
        <w:t xml:space="preserve"> </w:t>
      </w:r>
      <w:r w:rsidRPr="00E01D45">
        <w:rPr>
          <w:rFonts w:ascii="Cambria" w:hAnsi="Cambria"/>
          <w:bCs/>
          <w:sz w:val="20"/>
          <w:lang w:val="en-CA"/>
        </w:rPr>
        <w:t xml:space="preserve">CLD, </w:t>
      </w:r>
      <w:r w:rsidRPr="00E01D45">
        <w:rPr>
          <w:rFonts w:ascii="Cambria" w:hAnsi="Cambria" w:cstheme="minorBidi"/>
          <w:bCs/>
          <w:sz w:val="20"/>
          <w:lang w:val="en-CA" w:eastAsia="ja-JP"/>
        </w:rPr>
        <w:t>Submission to Canada’s Open Government Consultations</w:t>
      </w:r>
      <w:r w:rsidRPr="00E01D45">
        <w:rPr>
          <w:rFonts w:ascii="Cambria" w:hAnsi="Cambria"/>
          <w:bCs/>
          <w:sz w:val="20"/>
          <w:lang w:val="en-CA"/>
        </w:rPr>
        <w:t xml:space="preserve">, September 2014. Available at: </w:t>
      </w:r>
      <w:hyperlink r:id="rId2" w:history="1">
        <w:r w:rsidRPr="00E01D45">
          <w:rPr>
            <w:rStyle w:val="Hyperlink"/>
            <w:rFonts w:ascii="Cambria" w:hAnsi="Cambria"/>
            <w:bCs/>
            <w:sz w:val="20"/>
            <w:lang w:val="en-CA"/>
          </w:rPr>
          <w:t>http://www.law-democracy.org/live/wp-content/uploads/2014/09/Canada.OGP_.Note_.pdf</w:t>
        </w:r>
      </w:hyperlink>
      <w:r w:rsidRPr="00E01D45">
        <w:rPr>
          <w:rFonts w:ascii="Cambria" w:hAnsi="Cambria"/>
          <w:bCs/>
          <w:sz w:val="20"/>
          <w:lang w:val="en-CA"/>
        </w:rPr>
        <w:t xml:space="preserve">; </w:t>
      </w:r>
      <w:r w:rsidRPr="00E01D45">
        <w:rPr>
          <w:rFonts w:ascii="Cambria" w:hAnsi="Cambria"/>
          <w:sz w:val="20"/>
          <w:lang w:val="en-CA"/>
        </w:rPr>
        <w:t>CLD,</w:t>
      </w:r>
      <w:r w:rsidRPr="00E01D45">
        <w:rPr>
          <w:rFonts w:ascii="Cambria" w:hAnsi="Cambria" w:cs="Arial"/>
          <w:bCs/>
          <w:sz w:val="20"/>
          <w:lang w:val="en-CA"/>
        </w:rPr>
        <w:t xml:space="preserve"> </w:t>
      </w:r>
      <w:r w:rsidRPr="00E01D45">
        <w:rPr>
          <w:rFonts w:ascii="Cambria" w:hAnsi="Cambria" w:cstheme="minorBidi"/>
          <w:bCs/>
          <w:sz w:val="20"/>
          <w:lang w:val="en-CA" w:eastAsia="ja-JP"/>
        </w:rPr>
        <w:t>Submission to Ideas Discussion for Canada’s Action</w:t>
      </w:r>
      <w:r w:rsidRPr="00E01D45">
        <w:rPr>
          <w:rFonts w:ascii="Cambria" w:hAnsi="Cambria"/>
          <w:bCs/>
          <w:sz w:val="20"/>
          <w:lang w:val="en-CA"/>
        </w:rPr>
        <w:t xml:space="preserve"> Plan on Open Government 2016–18, May 2016. Available at: </w:t>
      </w:r>
      <w:hyperlink r:id="rId3" w:history="1">
        <w:r w:rsidRPr="00E01D45">
          <w:rPr>
            <w:rStyle w:val="Hyperlink"/>
            <w:rFonts w:ascii="Cambria" w:hAnsi="Cambria"/>
            <w:bCs/>
            <w:sz w:val="20"/>
            <w:lang w:val="en-CA"/>
          </w:rPr>
          <w:t>http://www.law-democracy.org/live/wp-content/uploads/2016/05/Canada.OGP-AP3-Ideas.May16.pdf</w:t>
        </w:r>
      </w:hyperlink>
      <w:r w:rsidRPr="00E01D45">
        <w:rPr>
          <w:rFonts w:ascii="Cambria" w:hAnsi="Cambria"/>
          <w:bCs/>
          <w:sz w:val="20"/>
          <w:lang w:val="en-CA"/>
        </w:rPr>
        <w:t xml:space="preserve">. </w:t>
      </w:r>
    </w:p>
  </w:footnote>
  <w:footnote w:id="4">
    <w:p w:rsidR="008A7B48" w:rsidRPr="00BF6F83" w:rsidRDefault="008A7B48">
      <w:pPr>
        <w:pStyle w:val="FootnoteText"/>
        <w:rPr>
          <w:sz w:val="20"/>
        </w:rPr>
      </w:pPr>
      <w:r w:rsidRPr="00BF6F83">
        <w:rPr>
          <w:rStyle w:val="FootnoteReference"/>
          <w:sz w:val="20"/>
        </w:rPr>
        <w:footnoteRef/>
      </w:r>
      <w:r w:rsidRPr="00BF6F83">
        <w:rPr>
          <w:sz w:val="20"/>
        </w:rPr>
        <w:t xml:space="preserve"> Available at: https://open.canada.ca/en/content/third-biennial-plan-open-government-partnership.</w:t>
      </w:r>
    </w:p>
  </w:footnote>
  <w:footnote w:id="5">
    <w:p w:rsidR="008A7B48" w:rsidRPr="006D451A" w:rsidRDefault="008A7B48" w:rsidP="006D451A">
      <w:pPr>
        <w:rPr>
          <w:color w:val="000000"/>
          <w:sz w:val="20"/>
          <w:szCs w:val="16"/>
        </w:rPr>
      </w:pPr>
      <w:r w:rsidRPr="006D451A">
        <w:rPr>
          <w:rStyle w:val="FootnoteReference"/>
          <w:sz w:val="20"/>
        </w:rPr>
        <w:footnoteRef/>
      </w:r>
      <w:r w:rsidRPr="006D451A">
        <w:rPr>
          <w:sz w:val="20"/>
        </w:rPr>
        <w:t xml:space="preserve"> Michael Karanicolas, </w:t>
      </w:r>
      <w:r w:rsidRPr="006D451A">
        <w:rPr>
          <w:i/>
          <w:sz w:val="20"/>
        </w:rPr>
        <w:t>Independent Reporting Mechanism (IRM): Canada Progress Report 2016-2017</w:t>
      </w:r>
      <w:r w:rsidRPr="006D451A">
        <w:rPr>
          <w:sz w:val="20"/>
        </w:rPr>
        <w:t xml:space="preserve">, March 2018, p. 32. Available at: </w:t>
      </w:r>
      <w:r w:rsidRPr="006D451A">
        <w:rPr>
          <w:color w:val="000000"/>
          <w:sz w:val="20"/>
          <w:szCs w:val="16"/>
        </w:rPr>
        <w:t> </w:t>
      </w:r>
      <w:hyperlink r:id="rId4" w:history="1">
        <w:r w:rsidRPr="006D451A">
          <w:rPr>
            <w:rStyle w:val="Hyperlink"/>
            <w:sz w:val="20"/>
            <w:szCs w:val="16"/>
          </w:rPr>
          <w:t>http://ogp.civicomment.org/canada-midterm-report-2016-2018-public-comment</w:t>
        </w:r>
      </w:hyperlink>
      <w:r w:rsidRPr="006D451A">
        <w:rPr>
          <w:color w:val="000000"/>
          <w:sz w:val="20"/>
          <w:szCs w:val="16"/>
        </w:rPr>
        <w:t>.</w:t>
      </w:r>
    </w:p>
  </w:footnote>
  <w:footnote w:id="6">
    <w:p w:rsidR="008A7B48" w:rsidRPr="00E01D45" w:rsidRDefault="008A7B48" w:rsidP="000C1CD0">
      <w:pPr>
        <w:pStyle w:val="FootnoteText"/>
        <w:rPr>
          <w:rFonts w:ascii="Cambria" w:hAnsi="Cambria" w:cs="Gill Sans"/>
          <w:sz w:val="20"/>
          <w:lang w:val="en-US"/>
        </w:rPr>
      </w:pPr>
      <w:r w:rsidRPr="00E01D45">
        <w:rPr>
          <w:rStyle w:val="FootnoteReference"/>
          <w:rFonts w:ascii="Cambria" w:hAnsi="Cambria" w:cs="Gill Sans"/>
          <w:sz w:val="20"/>
        </w:rPr>
        <w:footnoteRef/>
      </w:r>
      <w:r w:rsidRPr="00E01D45">
        <w:rPr>
          <w:rFonts w:ascii="Cambria" w:hAnsi="Cambria" w:cs="Gill Sans"/>
          <w:sz w:val="20"/>
        </w:rPr>
        <w:t xml:space="preserve"> </w:t>
      </w:r>
      <w:r w:rsidRPr="00E01D45">
        <w:rPr>
          <w:rFonts w:ascii="Cambria" w:hAnsi="Cambria" w:cs="Gill Sans"/>
          <w:sz w:val="20"/>
          <w:lang w:val="en-US"/>
        </w:rPr>
        <w:t xml:space="preserve">See: </w:t>
      </w:r>
      <w:hyperlink r:id="rId5" w:history="1">
        <w:r w:rsidRPr="00E01D45">
          <w:rPr>
            <w:rStyle w:val="Hyperlink"/>
            <w:rFonts w:ascii="Cambria" w:hAnsi="Cambria" w:cs="Gill Sans"/>
            <w:sz w:val="20"/>
            <w:lang w:val="en-US"/>
          </w:rPr>
          <w:t>http://www.rti-rating.org/country-data/</w:t>
        </w:r>
      </w:hyperlink>
      <w:r w:rsidRPr="00E01D45">
        <w:rPr>
          <w:rFonts w:ascii="Cambria" w:hAnsi="Cambria" w:cs="Gill Sans"/>
          <w:sz w:val="20"/>
          <w:lang w:val="en-US"/>
        </w:rPr>
        <w:t>. Canada’s ranking of 49</w:t>
      </w:r>
      <w:r w:rsidRPr="00E01D45">
        <w:rPr>
          <w:rFonts w:ascii="Cambria" w:hAnsi="Cambria" w:cs="Gill Sans"/>
          <w:sz w:val="20"/>
          <w:vertAlign w:val="superscript"/>
          <w:lang w:val="en-US"/>
        </w:rPr>
        <w:t>th</w:t>
      </w:r>
      <w:r w:rsidRPr="00E01D45">
        <w:rPr>
          <w:rFonts w:ascii="Cambria" w:hAnsi="Cambria" w:cs="Gill Sans"/>
          <w:sz w:val="20"/>
          <w:lang w:val="en-US"/>
        </w:rPr>
        <w:t xml:space="preserve"> is as of </w:t>
      </w:r>
      <w:r>
        <w:rPr>
          <w:rFonts w:ascii="Cambria" w:hAnsi="Cambria" w:cs="Gill Sans"/>
          <w:sz w:val="20"/>
          <w:lang w:val="en-US"/>
        </w:rPr>
        <w:t xml:space="preserve">end </w:t>
      </w:r>
      <w:r w:rsidRPr="00E01D45">
        <w:rPr>
          <w:rFonts w:ascii="Cambria" w:hAnsi="Cambria" w:cs="Gill Sans"/>
          <w:sz w:val="20"/>
          <w:lang w:val="en-US"/>
        </w:rPr>
        <w:t xml:space="preserve">2017.   </w:t>
      </w:r>
    </w:p>
  </w:footnote>
  <w:footnote w:id="7">
    <w:p w:rsidR="008A7B48" w:rsidRPr="002872FE" w:rsidRDefault="008A7B48" w:rsidP="00C359DB">
      <w:pPr>
        <w:widowControl w:val="0"/>
        <w:autoSpaceDE w:val="0"/>
        <w:autoSpaceDN w:val="0"/>
        <w:adjustRightInd w:val="0"/>
        <w:rPr>
          <w:rFonts w:eastAsiaTheme="minorEastAsia" w:cs="0π7È˛"/>
          <w:color w:val="000000"/>
          <w:sz w:val="20"/>
          <w:szCs w:val="14"/>
          <w:lang w:val="en-US" w:eastAsia="ja-JP"/>
        </w:rPr>
      </w:pPr>
      <w:r w:rsidRPr="002872FE">
        <w:rPr>
          <w:rStyle w:val="FootnoteReference"/>
          <w:sz w:val="20"/>
        </w:rPr>
        <w:footnoteRef/>
      </w:r>
      <w:r w:rsidRPr="002872FE">
        <w:rPr>
          <w:sz w:val="20"/>
        </w:rPr>
        <w:t xml:space="preserve"> </w:t>
      </w:r>
      <w:r>
        <w:rPr>
          <w:sz w:val="20"/>
        </w:rPr>
        <w:t xml:space="preserve">See, for example, </w:t>
      </w:r>
      <w:r w:rsidRPr="002872FE">
        <w:rPr>
          <w:rFonts w:eastAsiaTheme="minorEastAsia" w:cs="0π7È˛"/>
          <w:color w:val="000000"/>
          <w:sz w:val="20"/>
          <w:szCs w:val="14"/>
          <w:lang w:val="en-US" w:eastAsia="ja-JP"/>
        </w:rPr>
        <w:t xml:space="preserve">Office of the Information Commissioner, </w:t>
      </w:r>
      <w:r w:rsidRPr="002872FE">
        <w:rPr>
          <w:rFonts w:eastAsiaTheme="minorEastAsia" w:cs="0π7È˛"/>
          <w:i/>
          <w:color w:val="000000"/>
          <w:sz w:val="20"/>
          <w:szCs w:val="14"/>
          <w:lang w:val="en-US" w:eastAsia="ja-JP"/>
        </w:rPr>
        <w:t>Striking the Right Balance for Transparency: Recommendations to Modernize the Access to Information Act</w:t>
      </w:r>
      <w:r w:rsidRPr="002872FE">
        <w:rPr>
          <w:rFonts w:eastAsiaTheme="minorEastAsia" w:cs="0π7È˛"/>
          <w:color w:val="000000"/>
          <w:sz w:val="20"/>
          <w:szCs w:val="14"/>
          <w:lang w:val="en-US" w:eastAsia="ja-JP"/>
        </w:rPr>
        <w:t xml:space="preserve">, </w:t>
      </w:r>
      <w:r>
        <w:rPr>
          <w:rFonts w:eastAsiaTheme="minorEastAsia" w:cs="0π7È˛"/>
          <w:color w:val="000000"/>
          <w:sz w:val="20"/>
          <w:szCs w:val="14"/>
          <w:lang w:val="en-US" w:eastAsia="ja-JP"/>
        </w:rPr>
        <w:t>March 2015, available at:</w:t>
      </w:r>
      <w:r w:rsidRPr="002872FE">
        <w:rPr>
          <w:rFonts w:eastAsiaTheme="minorEastAsia" w:cs="0π7È˛"/>
          <w:color w:val="000000"/>
          <w:sz w:val="20"/>
          <w:szCs w:val="14"/>
          <w:lang w:val="en-US" w:eastAsia="ja-JP"/>
        </w:rPr>
        <w:t xml:space="preserve"> </w:t>
      </w:r>
      <w:hyperlink r:id="rId6" w:history="1">
        <w:r w:rsidRPr="00ED5D7C">
          <w:rPr>
            <w:rStyle w:val="Hyperlink"/>
            <w:rFonts w:eastAsiaTheme="minorEastAsia" w:cs="0π7È˛"/>
            <w:sz w:val="20"/>
            <w:szCs w:val="14"/>
            <w:lang w:val="en-US" w:eastAsia="ja-JP"/>
          </w:rPr>
          <w:t>http://www.oic-ci.gc.ca/eng/rapport-de-modernisation-modernization-report.aspx</w:t>
        </w:r>
      </w:hyperlink>
      <w:r w:rsidRPr="002872FE">
        <w:rPr>
          <w:rFonts w:eastAsiaTheme="minorEastAsia" w:cs="0π7È˛"/>
          <w:color w:val="000000"/>
          <w:sz w:val="20"/>
          <w:szCs w:val="14"/>
          <w:lang w:val="en-US" w:eastAsia="ja-JP"/>
        </w:rPr>
        <w:t xml:space="preserve">; </w:t>
      </w:r>
      <w:r>
        <w:rPr>
          <w:rFonts w:eastAsiaTheme="minorEastAsia" w:cs="0π7È˛"/>
          <w:color w:val="000000"/>
          <w:sz w:val="20"/>
          <w:szCs w:val="14"/>
          <w:lang w:val="en-US" w:eastAsia="ja-JP"/>
        </w:rPr>
        <w:t xml:space="preserve">and </w:t>
      </w:r>
      <w:r w:rsidRPr="002872FE">
        <w:rPr>
          <w:rFonts w:eastAsiaTheme="minorEastAsia" w:cs="0π7È˛"/>
          <w:color w:val="000000"/>
          <w:sz w:val="20"/>
          <w:szCs w:val="14"/>
          <w:lang w:val="en-US" w:eastAsia="ja-JP"/>
        </w:rPr>
        <w:t xml:space="preserve">Parliament of Canada, </w:t>
      </w:r>
      <w:r w:rsidRPr="002872FE">
        <w:rPr>
          <w:rFonts w:eastAsiaTheme="minorEastAsia" w:cs="0π7È˛"/>
          <w:i/>
          <w:color w:val="000000"/>
          <w:sz w:val="20"/>
          <w:szCs w:val="14"/>
          <w:lang w:val="en-US" w:eastAsia="ja-JP"/>
        </w:rPr>
        <w:t>Review of the Access to Information Act: Report of the Standing Committee on Access to Information, Privacy and Ethics</w:t>
      </w:r>
      <w:r w:rsidRPr="002872FE">
        <w:rPr>
          <w:rFonts w:eastAsiaTheme="minorEastAsia" w:cs="0π7È˛"/>
          <w:color w:val="000000"/>
          <w:sz w:val="20"/>
          <w:szCs w:val="14"/>
          <w:lang w:val="en-US" w:eastAsia="ja-JP"/>
        </w:rPr>
        <w:t xml:space="preserve">, </w:t>
      </w:r>
      <w:r>
        <w:rPr>
          <w:rFonts w:eastAsiaTheme="minorEastAsia" w:cs="0π7È˛"/>
          <w:color w:val="000000"/>
          <w:sz w:val="20"/>
          <w:szCs w:val="14"/>
          <w:lang w:val="en-US" w:eastAsia="ja-JP"/>
        </w:rPr>
        <w:t>June 2016, available at:</w:t>
      </w:r>
      <w:r w:rsidRPr="002872FE">
        <w:rPr>
          <w:rFonts w:eastAsiaTheme="minorEastAsia" w:cs="0π7È˛"/>
          <w:color w:val="000000"/>
          <w:sz w:val="20"/>
          <w:szCs w:val="14"/>
          <w:lang w:val="en-US" w:eastAsia="ja-JP"/>
        </w:rPr>
        <w:t xml:space="preserve"> </w:t>
      </w:r>
      <w:hyperlink r:id="rId7" w:history="1">
        <w:r w:rsidRPr="00ED5D7C">
          <w:rPr>
            <w:rStyle w:val="Hyperlink"/>
            <w:rFonts w:eastAsiaTheme="minorEastAsia" w:cs="0π7È˛"/>
            <w:sz w:val="20"/>
            <w:szCs w:val="14"/>
            <w:lang w:val="en-US" w:eastAsia="ja-JP"/>
          </w:rPr>
          <w:t>http://www.ourcommons.ca/DocumentViewer/en/42-1/ETHI/report-2</w:t>
        </w:r>
      </w:hyperlink>
      <w:r w:rsidRPr="002872FE">
        <w:rPr>
          <w:rFonts w:eastAsiaTheme="minorEastAsia" w:cs="0π7È˛"/>
          <w:color w:val="000000"/>
          <w:sz w:val="20"/>
          <w:szCs w:val="14"/>
          <w:lang w:val="en-US" w:eastAsia="ja-JP"/>
        </w:rPr>
        <w:t>.</w:t>
      </w:r>
    </w:p>
  </w:footnote>
  <w:footnote w:id="8">
    <w:p w:rsidR="008A7B48" w:rsidRPr="00BF6F83" w:rsidRDefault="008A7B48">
      <w:pPr>
        <w:pStyle w:val="FootnoteText"/>
        <w:rPr>
          <w:sz w:val="20"/>
        </w:rPr>
      </w:pPr>
      <w:r w:rsidRPr="00BF6F83">
        <w:rPr>
          <w:rStyle w:val="FootnoteReference"/>
          <w:sz w:val="20"/>
        </w:rPr>
        <w:footnoteRef/>
      </w:r>
      <w:r w:rsidRPr="00BF6F83">
        <w:rPr>
          <w:sz w:val="20"/>
        </w:rPr>
        <w:t xml:space="preserve"> Note </w:t>
      </w:r>
      <w:r w:rsidRPr="00BF6F83">
        <w:rPr>
          <w:sz w:val="20"/>
        </w:rPr>
        <w:fldChar w:fldCharType="begin"/>
      </w:r>
      <w:r w:rsidRPr="00BF6F83">
        <w:rPr>
          <w:sz w:val="20"/>
        </w:rPr>
        <w:instrText xml:space="preserve"> NOTEREF _Ref383524286 \h </w:instrText>
      </w:r>
      <w:r w:rsidRPr="00BF6F83">
        <w:rPr>
          <w:sz w:val="20"/>
        </w:rPr>
      </w:r>
      <w:r w:rsidRPr="00BF6F83">
        <w:rPr>
          <w:sz w:val="20"/>
        </w:rPr>
        <w:fldChar w:fldCharType="separate"/>
      </w:r>
      <w:r>
        <w:rPr>
          <w:sz w:val="20"/>
        </w:rPr>
        <w:t>4</w:t>
      </w:r>
      <w:r w:rsidRPr="00BF6F83">
        <w:rPr>
          <w:sz w:val="20"/>
        </w:rPr>
        <w:fldChar w:fldCharType="end"/>
      </w:r>
      <w:r w:rsidRPr="00BF6F83">
        <w:rPr>
          <w:sz w:val="20"/>
        </w:rPr>
        <w:t>.</w:t>
      </w:r>
    </w:p>
  </w:footnote>
  <w:footnote w:id="9">
    <w:p w:rsidR="008A7B48" w:rsidRPr="00E865F5" w:rsidRDefault="008A7B48" w:rsidP="00E865F5">
      <w:pPr>
        <w:rPr>
          <w:sz w:val="20"/>
        </w:rPr>
      </w:pPr>
      <w:r w:rsidRPr="00E865F5">
        <w:rPr>
          <w:rStyle w:val="FootnoteReference"/>
          <w:sz w:val="20"/>
        </w:rPr>
        <w:footnoteRef/>
      </w:r>
      <w:r w:rsidRPr="00E865F5">
        <w:rPr>
          <w:sz w:val="20"/>
        </w:rPr>
        <w:t xml:space="preserve"> CLD, Liberals and NDP Pledge Access to Information Reform, 16 October 2015. Available at: https://www.law-democracy.org/live/liberals-and-ndp-pledge-access-to-information-reform/.</w:t>
      </w:r>
    </w:p>
  </w:footnote>
  <w:footnote w:id="10">
    <w:p w:rsidR="008A7B48" w:rsidRPr="007F694C" w:rsidRDefault="008A7B48" w:rsidP="00E865F5">
      <w:pPr>
        <w:pStyle w:val="FootnoteText"/>
        <w:rPr>
          <w:sz w:val="20"/>
        </w:rPr>
      </w:pPr>
      <w:r w:rsidRPr="007F694C">
        <w:rPr>
          <w:rStyle w:val="FootnoteReference"/>
          <w:sz w:val="20"/>
        </w:rPr>
        <w:footnoteRef/>
      </w:r>
      <w:r w:rsidRPr="007F694C">
        <w:rPr>
          <w:sz w:val="20"/>
        </w:rPr>
        <w:t xml:space="preserve"> They were made public on 13 November 2015 and are </w:t>
      </w:r>
      <w:r>
        <w:rPr>
          <w:sz w:val="20"/>
        </w:rPr>
        <w:t xml:space="preserve">available at: </w:t>
      </w:r>
      <w:r w:rsidRPr="008B5EFA">
        <w:rPr>
          <w:sz w:val="20"/>
        </w:rPr>
        <w:t>https://pm.gc.ca/eng/mandate-letters</w:t>
      </w:r>
      <w:r w:rsidRPr="007F694C">
        <w:rPr>
          <w:sz w:val="20"/>
        </w:rPr>
        <w:t>.</w:t>
      </w:r>
    </w:p>
  </w:footnote>
  <w:footnote w:id="11">
    <w:p w:rsidR="008A7B48" w:rsidRPr="00347BD0" w:rsidRDefault="008A7B48" w:rsidP="00E865F5">
      <w:pPr>
        <w:pStyle w:val="FootnoteText"/>
        <w:rPr>
          <w:sz w:val="20"/>
        </w:rPr>
      </w:pPr>
      <w:r w:rsidRPr="00347BD0">
        <w:rPr>
          <w:rStyle w:val="FootnoteReference"/>
          <w:sz w:val="20"/>
        </w:rPr>
        <w:footnoteRef/>
      </w:r>
      <w:r w:rsidRPr="00347BD0">
        <w:rPr>
          <w:sz w:val="20"/>
        </w:rPr>
        <w:t xml:space="preserve"> Available at: </w:t>
      </w:r>
      <w:hyperlink r:id="rId8" w:history="1">
        <w:r w:rsidRPr="00347BD0">
          <w:rPr>
            <w:rStyle w:val="Hyperlink"/>
            <w:sz w:val="20"/>
          </w:rPr>
          <w:t>www.tbs-sct.gc.ca/pol/doc-eng.aspx?id=18310</w:t>
        </w:r>
      </w:hyperlink>
      <w:r w:rsidRPr="00347BD0">
        <w:rPr>
          <w:sz w:val="20"/>
        </w:rPr>
        <w:t>.</w:t>
      </w:r>
    </w:p>
  </w:footnote>
  <w:footnote w:id="12">
    <w:p w:rsidR="008A7B48" w:rsidRPr="009F1E09" w:rsidRDefault="008A7B48">
      <w:pPr>
        <w:pStyle w:val="FootnoteText"/>
        <w:rPr>
          <w:sz w:val="20"/>
        </w:rPr>
      </w:pPr>
      <w:r w:rsidRPr="009F1E09">
        <w:rPr>
          <w:rStyle w:val="FootnoteReference"/>
          <w:sz w:val="20"/>
        </w:rPr>
        <w:footnoteRef/>
      </w:r>
      <w:r w:rsidRPr="009F1E09">
        <w:rPr>
          <w:sz w:val="20"/>
        </w:rPr>
        <w:t xml:space="preserve"> Note </w:t>
      </w:r>
      <w:r w:rsidRPr="009F1E09">
        <w:rPr>
          <w:sz w:val="20"/>
        </w:rPr>
        <w:fldChar w:fldCharType="begin"/>
      </w:r>
      <w:r w:rsidRPr="009F1E09">
        <w:rPr>
          <w:sz w:val="20"/>
        </w:rPr>
        <w:instrText xml:space="preserve"> NOTEREF _Ref383524286 \h </w:instrText>
      </w:r>
      <w:r w:rsidRPr="009F1E09">
        <w:rPr>
          <w:sz w:val="20"/>
        </w:rPr>
      </w:r>
      <w:r w:rsidRPr="009F1E09">
        <w:rPr>
          <w:sz w:val="20"/>
        </w:rPr>
        <w:fldChar w:fldCharType="separate"/>
      </w:r>
      <w:r>
        <w:rPr>
          <w:sz w:val="20"/>
        </w:rPr>
        <w:t>4</w:t>
      </w:r>
      <w:r w:rsidRPr="009F1E09">
        <w:rPr>
          <w:sz w:val="20"/>
        </w:rPr>
        <w:fldChar w:fldCharType="end"/>
      </w:r>
      <w:r w:rsidRPr="009F1E09">
        <w:rPr>
          <w:sz w:val="20"/>
        </w:rPr>
        <w:t>.</w:t>
      </w:r>
    </w:p>
  </w:footnote>
  <w:footnote w:id="13">
    <w:p w:rsidR="008A7B48" w:rsidRPr="00F0379E" w:rsidRDefault="008A7B48">
      <w:pPr>
        <w:pStyle w:val="FootnoteText"/>
        <w:rPr>
          <w:sz w:val="20"/>
        </w:rPr>
      </w:pPr>
      <w:r w:rsidRPr="00F0379E">
        <w:rPr>
          <w:rStyle w:val="FootnoteReference"/>
          <w:sz w:val="20"/>
        </w:rPr>
        <w:footnoteRef/>
      </w:r>
      <w:r w:rsidRPr="00F0379E">
        <w:rPr>
          <w:sz w:val="20"/>
        </w:rPr>
        <w:t xml:space="preserve"> Note </w:t>
      </w:r>
      <w:r w:rsidRPr="00F0379E">
        <w:rPr>
          <w:sz w:val="20"/>
        </w:rPr>
        <w:fldChar w:fldCharType="begin"/>
      </w:r>
      <w:r w:rsidRPr="00F0379E">
        <w:rPr>
          <w:sz w:val="20"/>
        </w:rPr>
        <w:instrText xml:space="preserve"> NOTEREF _Ref383525251 \h </w:instrText>
      </w:r>
      <w:r w:rsidRPr="00F0379E">
        <w:rPr>
          <w:sz w:val="20"/>
        </w:rPr>
      </w:r>
      <w:r w:rsidRPr="00F0379E">
        <w:rPr>
          <w:sz w:val="20"/>
        </w:rPr>
        <w:fldChar w:fldCharType="separate"/>
      </w:r>
      <w:r>
        <w:rPr>
          <w:sz w:val="20"/>
        </w:rPr>
        <w:t>3</w:t>
      </w:r>
      <w:r w:rsidRPr="00F0379E">
        <w:rPr>
          <w:sz w:val="20"/>
        </w:rPr>
        <w:fldChar w:fldCharType="end"/>
      </w:r>
      <w:r w:rsidRPr="00F0379E">
        <w:rPr>
          <w:sz w:val="20"/>
        </w:rPr>
        <w:t>, p. 3.</w:t>
      </w:r>
    </w:p>
  </w:footnote>
  <w:footnote w:id="14">
    <w:p w:rsidR="008A7B48" w:rsidRPr="00F05617" w:rsidRDefault="008A7B48" w:rsidP="00B9502F">
      <w:pPr>
        <w:pStyle w:val="FootnoteText"/>
        <w:jc w:val="both"/>
        <w:rPr>
          <w:rFonts w:ascii="Cambria" w:hAnsi="Cambria" w:cstheme="majorEastAsia"/>
          <w:sz w:val="20"/>
        </w:rPr>
      </w:pPr>
      <w:r w:rsidRPr="00F05617">
        <w:rPr>
          <w:rStyle w:val="FootnoteReference"/>
          <w:rFonts w:ascii="Cambria" w:hAnsi="Cambria" w:cstheme="majorEastAsia"/>
          <w:sz w:val="20"/>
        </w:rPr>
        <w:footnoteRef/>
      </w:r>
      <w:r w:rsidRPr="00F05617">
        <w:rPr>
          <w:rFonts w:ascii="Cambria" w:hAnsi="Cambria" w:cstheme="majorEastAsia"/>
          <w:sz w:val="20"/>
        </w:rPr>
        <w:t xml:space="preserve"> </w:t>
      </w:r>
      <w:r>
        <w:rPr>
          <w:rFonts w:ascii="Cambria" w:hAnsi="Cambria" w:cstheme="majorEastAsia"/>
          <w:sz w:val="20"/>
        </w:rPr>
        <w:t>A</w:t>
      </w:r>
      <w:r w:rsidRPr="00F05617">
        <w:rPr>
          <w:rFonts w:ascii="Cambria" w:hAnsi="Cambria" w:cstheme="majorEastAsia"/>
          <w:sz w:val="20"/>
        </w:rPr>
        <w:t xml:space="preserve">vailable at: </w:t>
      </w:r>
      <w:hyperlink r:id="rId9" w:history="1">
        <w:r w:rsidRPr="00F05617">
          <w:rPr>
            <w:rStyle w:val="Hyperlink"/>
            <w:rFonts w:ascii="Cambria" w:hAnsi="Cambria" w:cstheme="majorEastAsia"/>
            <w:sz w:val="20"/>
          </w:rPr>
          <w:t>https://www.law-democracy.org/live/wp-content/uploads/2017/04/17.04.04.ATIA-delay.let1_.pdf</w:t>
        </w:r>
      </w:hyperlink>
      <w:r w:rsidRPr="00F05617">
        <w:rPr>
          <w:rFonts w:ascii="Cambria" w:hAnsi="Cambria" w:cstheme="majorEastAsia"/>
          <w:sz w:val="20"/>
        </w:rPr>
        <w:t xml:space="preserve">. </w:t>
      </w:r>
    </w:p>
  </w:footnote>
  <w:footnote w:id="15">
    <w:p w:rsidR="008A7B48" w:rsidRPr="009F1E09" w:rsidRDefault="008A7B48">
      <w:pPr>
        <w:pStyle w:val="FootnoteText"/>
        <w:rPr>
          <w:sz w:val="20"/>
        </w:rPr>
      </w:pPr>
      <w:r w:rsidRPr="009F1E09">
        <w:rPr>
          <w:rStyle w:val="FootnoteReference"/>
          <w:sz w:val="20"/>
        </w:rPr>
        <w:footnoteRef/>
      </w:r>
      <w:r w:rsidRPr="009F1E09">
        <w:rPr>
          <w:sz w:val="20"/>
        </w:rPr>
        <w:t xml:space="preserve"> See https://www.parl.ca/LegisInfo/BillDetails.aspx?billId=9057528&amp;Language=E.</w:t>
      </w:r>
    </w:p>
  </w:footnote>
  <w:footnote w:id="16">
    <w:p w:rsidR="008A7B48" w:rsidRPr="00E01D45" w:rsidRDefault="008A7B48" w:rsidP="00B05C45">
      <w:pPr>
        <w:pStyle w:val="FootnoteText"/>
        <w:rPr>
          <w:rFonts w:ascii="Cambria" w:hAnsi="Cambria" w:cs="Gill Sans"/>
          <w:sz w:val="20"/>
          <w:lang w:val="en-US"/>
        </w:rPr>
      </w:pPr>
      <w:r w:rsidRPr="00E01D45">
        <w:rPr>
          <w:rStyle w:val="FootnoteReference"/>
          <w:rFonts w:ascii="Cambria" w:hAnsi="Cambria" w:cs="Gill Sans"/>
          <w:sz w:val="20"/>
        </w:rPr>
        <w:footnoteRef/>
      </w:r>
      <w:r w:rsidRPr="00E01D45">
        <w:rPr>
          <w:rFonts w:ascii="Cambria" w:hAnsi="Cambria" w:cs="Gill Sans"/>
          <w:sz w:val="20"/>
        </w:rPr>
        <w:t xml:space="preserve"> Bill C-58, An Act to amend the Access to Information Act and the Privacy Act and to make consequential amendments to other Acts, </w:t>
      </w:r>
      <w:r>
        <w:rPr>
          <w:rFonts w:ascii="Cambria" w:hAnsi="Cambria" w:cs="Gill Sans"/>
          <w:sz w:val="20"/>
        </w:rPr>
        <w:t xml:space="preserve">19 June </w:t>
      </w:r>
      <w:r w:rsidRPr="00E01D45">
        <w:rPr>
          <w:rFonts w:ascii="Cambria" w:hAnsi="Cambria" w:cs="Gill Sans"/>
          <w:sz w:val="20"/>
        </w:rPr>
        <w:t xml:space="preserve">2017. Available at: </w:t>
      </w:r>
      <w:hyperlink r:id="rId10" w:history="1">
        <w:r w:rsidRPr="00E01D45">
          <w:rPr>
            <w:rStyle w:val="Hyperlink"/>
            <w:rFonts w:ascii="Cambria" w:hAnsi="Cambria" w:cs="Gill Sans"/>
            <w:sz w:val="20"/>
          </w:rPr>
          <w:t>http://www.parl.ca/DocumentViewer/en/42-1/bill/C-58/first-reading</w:t>
        </w:r>
      </w:hyperlink>
      <w:r w:rsidRPr="00E01D45">
        <w:rPr>
          <w:rFonts w:ascii="Cambria" w:hAnsi="Cambria" w:cs="Gill Sans"/>
          <w:sz w:val="20"/>
        </w:rPr>
        <w:t>.</w:t>
      </w:r>
    </w:p>
  </w:footnote>
  <w:footnote w:id="17">
    <w:p w:rsidR="008A7B48" w:rsidRPr="005901AF" w:rsidRDefault="008A7B48" w:rsidP="005901AF">
      <w:pPr>
        <w:widowControl w:val="0"/>
        <w:autoSpaceDE w:val="0"/>
        <w:autoSpaceDN w:val="0"/>
        <w:adjustRightInd w:val="0"/>
        <w:rPr>
          <w:rFonts w:eastAsiaTheme="minorEastAsia" w:cs="0y+‡˛"/>
          <w:i/>
          <w:sz w:val="20"/>
          <w:szCs w:val="61"/>
          <w:lang w:val="en-US" w:eastAsia="ja-JP"/>
        </w:rPr>
      </w:pPr>
      <w:r w:rsidRPr="005901AF">
        <w:rPr>
          <w:rStyle w:val="FootnoteReference"/>
          <w:sz w:val="20"/>
        </w:rPr>
        <w:footnoteRef/>
      </w:r>
      <w:r w:rsidRPr="005901AF">
        <w:rPr>
          <w:sz w:val="20"/>
        </w:rPr>
        <w:t xml:space="preserve"> In her report on the reform proposals, </w:t>
      </w:r>
      <w:r w:rsidRPr="005901AF">
        <w:rPr>
          <w:rFonts w:eastAsiaTheme="minorEastAsia"/>
          <w:i/>
          <w:sz w:val="20"/>
          <w:szCs w:val="89"/>
          <w:lang w:val="en-US" w:eastAsia="ja-JP"/>
        </w:rPr>
        <w:t xml:space="preserve">Failing </w:t>
      </w:r>
      <w:r w:rsidRPr="005901AF">
        <w:rPr>
          <w:rFonts w:eastAsiaTheme="minorEastAsia"/>
          <w:i/>
          <w:sz w:val="20"/>
          <w:szCs w:val="68"/>
          <w:lang w:val="en-US" w:eastAsia="ja-JP"/>
        </w:rPr>
        <w:t xml:space="preserve">to </w:t>
      </w:r>
      <w:r w:rsidRPr="005901AF">
        <w:rPr>
          <w:rFonts w:eastAsiaTheme="minorEastAsia"/>
          <w:i/>
          <w:sz w:val="20"/>
          <w:szCs w:val="89"/>
          <w:lang w:val="en-US" w:eastAsia="ja-JP"/>
        </w:rPr>
        <w:t xml:space="preserve">Strike </w:t>
      </w:r>
      <w:r w:rsidRPr="005901AF">
        <w:rPr>
          <w:rFonts w:eastAsiaTheme="minorEastAsia"/>
          <w:i/>
          <w:sz w:val="20"/>
          <w:szCs w:val="59"/>
          <w:lang w:val="en-US" w:eastAsia="ja-JP"/>
        </w:rPr>
        <w:t xml:space="preserve">the </w:t>
      </w:r>
      <w:r w:rsidRPr="005901AF">
        <w:rPr>
          <w:rFonts w:eastAsiaTheme="minorEastAsia"/>
          <w:i/>
          <w:sz w:val="20"/>
          <w:szCs w:val="80"/>
          <w:lang w:val="en-US" w:eastAsia="ja-JP"/>
        </w:rPr>
        <w:t xml:space="preserve">Right Balance </w:t>
      </w:r>
      <w:r w:rsidRPr="005901AF">
        <w:rPr>
          <w:rFonts w:eastAsiaTheme="minorEastAsia"/>
          <w:i/>
          <w:sz w:val="20"/>
          <w:szCs w:val="58"/>
          <w:lang w:val="en-US" w:eastAsia="ja-JP"/>
        </w:rPr>
        <w:t xml:space="preserve">for </w:t>
      </w:r>
      <w:r w:rsidRPr="005901AF">
        <w:rPr>
          <w:rFonts w:eastAsiaTheme="minorEastAsia"/>
          <w:i/>
          <w:sz w:val="20"/>
          <w:szCs w:val="79"/>
          <w:lang w:val="en-US" w:eastAsia="ja-JP"/>
        </w:rPr>
        <w:t>Transparency: R</w:t>
      </w:r>
      <w:r w:rsidRPr="005901AF">
        <w:rPr>
          <w:rFonts w:eastAsiaTheme="minorEastAsia" w:cs="0y+‡˛"/>
          <w:i/>
          <w:sz w:val="20"/>
          <w:szCs w:val="61"/>
          <w:lang w:val="en-US" w:eastAsia="ja-JP"/>
        </w:rPr>
        <w:t xml:space="preserve">ecommendations to Improve Bill C-58: </w:t>
      </w:r>
      <w:r w:rsidRPr="005901AF">
        <w:rPr>
          <w:rFonts w:eastAsiaTheme="minorEastAsia" w:cs="0y+‡˛"/>
          <w:i/>
          <w:sz w:val="20"/>
          <w:szCs w:val="26"/>
          <w:lang w:val="en-US" w:eastAsia="ja-JP"/>
        </w:rPr>
        <w:t xml:space="preserve">An Act </w:t>
      </w:r>
      <w:r w:rsidRPr="005901AF">
        <w:rPr>
          <w:rFonts w:eastAsiaTheme="minorEastAsia" w:cs="0y+‡˛"/>
          <w:i/>
          <w:sz w:val="20"/>
          <w:szCs w:val="24"/>
          <w:lang w:val="en-US" w:eastAsia="ja-JP"/>
        </w:rPr>
        <w:t xml:space="preserve">to </w:t>
      </w:r>
      <w:r w:rsidRPr="005901AF">
        <w:rPr>
          <w:rFonts w:eastAsiaTheme="minorEastAsia" w:cs="0y+‡˛"/>
          <w:i/>
          <w:sz w:val="20"/>
          <w:szCs w:val="26"/>
          <w:lang w:val="en-US" w:eastAsia="ja-JP"/>
        </w:rPr>
        <w:t xml:space="preserve">amend </w:t>
      </w:r>
      <w:r w:rsidRPr="005901AF">
        <w:rPr>
          <w:rFonts w:eastAsiaTheme="minorEastAsia" w:cs="0y+‡˛"/>
          <w:i/>
          <w:sz w:val="20"/>
          <w:szCs w:val="24"/>
          <w:lang w:val="en-US" w:eastAsia="ja-JP"/>
        </w:rPr>
        <w:t xml:space="preserve">the </w:t>
      </w:r>
      <w:r w:rsidRPr="005901AF">
        <w:rPr>
          <w:rFonts w:eastAsiaTheme="minorEastAsia" w:cs="0y+‡˛"/>
          <w:i/>
          <w:sz w:val="20"/>
          <w:szCs w:val="26"/>
          <w:lang w:val="en-US" w:eastAsia="ja-JP"/>
        </w:rPr>
        <w:t xml:space="preserve">Access to Information Act </w:t>
      </w:r>
      <w:r w:rsidRPr="005901AF">
        <w:rPr>
          <w:rFonts w:eastAsiaTheme="minorEastAsia" w:cs="0y+‡˛"/>
          <w:i/>
          <w:sz w:val="20"/>
          <w:szCs w:val="24"/>
          <w:lang w:val="en-US" w:eastAsia="ja-JP"/>
        </w:rPr>
        <w:t>and the</w:t>
      </w:r>
    </w:p>
    <w:p w:rsidR="008A7B48" w:rsidRPr="005901AF" w:rsidRDefault="008A7B48" w:rsidP="005901AF">
      <w:pPr>
        <w:pStyle w:val="FootnoteText"/>
        <w:rPr>
          <w:sz w:val="20"/>
        </w:rPr>
      </w:pPr>
      <w:r w:rsidRPr="005901AF">
        <w:rPr>
          <w:rFonts w:eastAsiaTheme="minorEastAsia" w:cs="0y+‡˛"/>
          <w:i/>
          <w:sz w:val="20"/>
          <w:szCs w:val="26"/>
          <w:lang w:val="en-US" w:eastAsia="ja-JP"/>
        </w:rPr>
        <w:t xml:space="preserve">Privacy Act </w:t>
      </w:r>
      <w:r w:rsidRPr="005901AF">
        <w:rPr>
          <w:rFonts w:eastAsiaTheme="minorEastAsia" w:cs="0y+‡˛"/>
          <w:i/>
          <w:sz w:val="20"/>
          <w:szCs w:val="24"/>
          <w:lang w:val="en-US" w:eastAsia="ja-JP"/>
        </w:rPr>
        <w:t xml:space="preserve">and to </w:t>
      </w:r>
      <w:r w:rsidRPr="005901AF">
        <w:rPr>
          <w:rFonts w:eastAsiaTheme="minorEastAsia" w:cs="0y+‡˛"/>
          <w:i/>
          <w:sz w:val="20"/>
          <w:szCs w:val="26"/>
          <w:lang w:val="en-US" w:eastAsia="ja-JP"/>
        </w:rPr>
        <w:t xml:space="preserve">make consequential amendments </w:t>
      </w:r>
      <w:r w:rsidRPr="005901AF">
        <w:rPr>
          <w:rFonts w:eastAsiaTheme="minorEastAsia" w:cs="0y+‡˛"/>
          <w:i/>
          <w:sz w:val="20"/>
          <w:szCs w:val="24"/>
          <w:lang w:val="en-US" w:eastAsia="ja-JP"/>
        </w:rPr>
        <w:t xml:space="preserve">to </w:t>
      </w:r>
      <w:r w:rsidRPr="005901AF">
        <w:rPr>
          <w:rFonts w:eastAsiaTheme="minorEastAsia" w:cs="0y+‡˛"/>
          <w:i/>
          <w:sz w:val="20"/>
          <w:szCs w:val="26"/>
          <w:lang w:val="en-US" w:eastAsia="ja-JP"/>
        </w:rPr>
        <w:t>other Acts</w:t>
      </w:r>
      <w:r>
        <w:rPr>
          <w:rFonts w:eastAsiaTheme="minorEastAsia" w:cs="0y+‡˛"/>
          <w:sz w:val="20"/>
          <w:szCs w:val="26"/>
          <w:lang w:val="en-US" w:eastAsia="ja-JP"/>
        </w:rPr>
        <w:t xml:space="preserve">, the Information Commissioner of Canada listed a series of government promises to introduce reforms, followed by the statement, in relation to Bill C-58, that “It does not”. September 2017, p. 3. Available at: </w:t>
      </w:r>
      <w:r w:rsidRPr="00B05C45">
        <w:rPr>
          <w:rFonts w:eastAsiaTheme="minorEastAsia" w:cs="0y+‡˛"/>
          <w:sz w:val="20"/>
          <w:szCs w:val="26"/>
          <w:lang w:val="en-US" w:eastAsia="ja-JP"/>
        </w:rPr>
        <w:t>http://www.ci-oic.gc.ca/telechargements-downloads/userfiles/files/eng/reports-publications/Special-reports/OIC_SpecialReport2017_ENG_Online(1).pdf</w:t>
      </w:r>
      <w:r>
        <w:rPr>
          <w:rFonts w:eastAsiaTheme="minorEastAsia" w:cs="0y+‡˛"/>
          <w:sz w:val="20"/>
          <w:szCs w:val="26"/>
          <w:lang w:val="en-US" w:eastAsia="ja-JP"/>
        </w:rPr>
        <w:t>.</w:t>
      </w:r>
    </w:p>
  </w:footnote>
  <w:footnote w:id="18">
    <w:p w:rsidR="008A7B48" w:rsidRPr="00B05C45" w:rsidRDefault="008A7B48">
      <w:pPr>
        <w:pStyle w:val="FootnoteText"/>
        <w:rPr>
          <w:i/>
          <w:sz w:val="20"/>
        </w:rPr>
      </w:pPr>
      <w:r w:rsidRPr="00B05C45">
        <w:rPr>
          <w:rStyle w:val="FootnoteReference"/>
          <w:sz w:val="20"/>
        </w:rPr>
        <w:footnoteRef/>
      </w:r>
      <w:r w:rsidRPr="00B05C45">
        <w:rPr>
          <w:sz w:val="20"/>
        </w:rPr>
        <w:t xml:space="preserve"> </w:t>
      </w:r>
      <w:r w:rsidRPr="00B05C45">
        <w:rPr>
          <w:i/>
          <w:sz w:val="20"/>
        </w:rPr>
        <w:t>Ibid.</w:t>
      </w:r>
    </w:p>
  </w:footnote>
  <w:footnote w:id="19">
    <w:p w:rsidR="008A7B48" w:rsidRPr="00E01D45" w:rsidRDefault="008A7B48" w:rsidP="005D6A43">
      <w:pPr>
        <w:pStyle w:val="FootnoteText"/>
        <w:rPr>
          <w:rFonts w:ascii="Cambria" w:hAnsi="Cambria" w:cs="Gill Sans"/>
          <w:sz w:val="20"/>
          <w:lang w:val="en-US"/>
        </w:rPr>
      </w:pPr>
      <w:r w:rsidRPr="00E01D45">
        <w:rPr>
          <w:rStyle w:val="FootnoteReference"/>
          <w:rFonts w:ascii="Cambria" w:hAnsi="Cambria" w:cs="Gill Sans"/>
          <w:sz w:val="20"/>
        </w:rPr>
        <w:footnoteRef/>
      </w:r>
      <w:r w:rsidRPr="00E01D45">
        <w:rPr>
          <w:rFonts w:ascii="Cambria" w:hAnsi="Cambria" w:cs="Gill Sans"/>
          <w:sz w:val="20"/>
        </w:rPr>
        <w:t xml:space="preserve"> Joint letter to the Canadian government on its proposals to reform the Access to Information Act, Centre for Law and Democracy, 28 September 2017. Available at: </w:t>
      </w:r>
      <w:hyperlink r:id="rId11" w:history="1">
        <w:r w:rsidRPr="00E01D45">
          <w:rPr>
            <w:rStyle w:val="Hyperlink"/>
            <w:rFonts w:ascii="Cambria" w:hAnsi="Cambria" w:cs="Gill Sans"/>
            <w:sz w:val="20"/>
          </w:rPr>
          <w:t>https://www.law-democracy.org/live/letter-to-the-president-of-the-treasury-board-demanding-access-to-information-reform/</w:t>
        </w:r>
      </w:hyperlink>
      <w:r w:rsidRPr="00E01D45">
        <w:rPr>
          <w:rFonts w:ascii="Cambria" w:hAnsi="Cambria" w:cs="Gill Sans"/>
          <w:sz w:val="20"/>
        </w:rPr>
        <w:t>.</w:t>
      </w:r>
    </w:p>
  </w:footnote>
  <w:footnote w:id="20">
    <w:p w:rsidR="008A7B48" w:rsidRPr="00FB5E41" w:rsidRDefault="008A7B48" w:rsidP="00FB5E41">
      <w:pPr>
        <w:rPr>
          <w:sz w:val="20"/>
        </w:rPr>
      </w:pPr>
      <w:r w:rsidRPr="00FB5E41">
        <w:rPr>
          <w:rStyle w:val="FootnoteReference"/>
          <w:sz w:val="20"/>
        </w:rPr>
        <w:footnoteRef/>
      </w:r>
      <w:r w:rsidRPr="00FB5E41">
        <w:rPr>
          <w:sz w:val="20"/>
        </w:rPr>
        <w:t xml:space="preserve"> CLD, Canada: Net Value of Access to Information Act Reform Bill: Two Points, 23 June 2017. Available at: https://www.law-democracy.org/live/canada-net-value-of-access-to-information-act-reform-bill-two-points/.</w:t>
      </w:r>
    </w:p>
  </w:footnote>
  <w:footnote w:id="21">
    <w:p w:rsidR="008A7B48" w:rsidRPr="00FB5E41" w:rsidRDefault="008A7B48">
      <w:pPr>
        <w:pStyle w:val="FootnoteText"/>
        <w:rPr>
          <w:sz w:val="20"/>
        </w:rPr>
      </w:pPr>
      <w:r w:rsidRPr="00FB5E41">
        <w:rPr>
          <w:rStyle w:val="FootnoteReference"/>
          <w:sz w:val="20"/>
        </w:rPr>
        <w:footnoteRef/>
      </w:r>
      <w:r w:rsidRPr="00FB5E41">
        <w:rPr>
          <w:sz w:val="20"/>
        </w:rPr>
        <w:t xml:space="preserve"> Available at: http://www.parl.ca/DocumentViewer/en/42-1/bill/C-58/third-reading.</w:t>
      </w:r>
    </w:p>
  </w:footnote>
  <w:footnote w:id="22">
    <w:p w:rsidR="008A7B48" w:rsidRPr="00833988" w:rsidRDefault="008A7B48" w:rsidP="00833988">
      <w:pPr>
        <w:rPr>
          <w:sz w:val="20"/>
        </w:rPr>
      </w:pPr>
      <w:r w:rsidRPr="00833988">
        <w:rPr>
          <w:rStyle w:val="FootnoteReference"/>
          <w:sz w:val="20"/>
        </w:rPr>
        <w:footnoteRef/>
      </w:r>
      <w:r w:rsidRPr="00833988">
        <w:rPr>
          <w:sz w:val="20"/>
        </w:rPr>
        <w:t xml:space="preserve"> CLD, </w:t>
      </w:r>
      <w:r w:rsidRPr="00833988">
        <w:rPr>
          <w:bCs/>
          <w:spacing w:val="-13"/>
          <w:sz w:val="20"/>
          <w:szCs w:val="33"/>
          <w:bdr w:val="none" w:sz="0" w:space="0" w:color="auto" w:frame="1"/>
        </w:rPr>
        <w:t>Canada: Stumbles Badly on Access to Information Reforms</w:t>
      </w:r>
      <w:r w:rsidRPr="00833988">
        <w:rPr>
          <w:sz w:val="20"/>
        </w:rPr>
        <w:t>, 7 February 2018. Available at: https://www.law-democracy.org/live/canada-stumbles-badly-on-access-to-information-reforms/.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48" w:rsidRDefault="008A7B48">
    <w:pPr>
      <w:pStyle w:val="Header"/>
      <w:jc w:val="center"/>
      <w:rPr>
        <w:sz w:val="22"/>
      </w:rPr>
    </w:pPr>
    <w:r w:rsidRPr="007B7D0A">
      <w:rPr>
        <w:sz w:val="22"/>
      </w:rPr>
      <w:t>Submission to Ideas Discussion for Canada’s Action Plan on Open Government 2018–20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27D2C"/>
    <w:multiLevelType w:val="hybridMultilevel"/>
    <w:tmpl w:val="B3DA1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A337AA"/>
    <w:multiLevelType w:val="hybridMultilevel"/>
    <w:tmpl w:val="66A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E74BC0"/>
    <w:multiLevelType w:val="hybridMultilevel"/>
    <w:tmpl w:val="89D0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FELayout/>
  </w:compat>
  <w:rsids>
    <w:rsidRoot w:val="00F9211A"/>
    <w:rsid w:val="00047D74"/>
    <w:rsid w:val="00055C18"/>
    <w:rsid w:val="000A528F"/>
    <w:rsid w:val="000C1CD0"/>
    <w:rsid w:val="000E0B51"/>
    <w:rsid w:val="00112201"/>
    <w:rsid w:val="00120947"/>
    <w:rsid w:val="00130598"/>
    <w:rsid w:val="001700F7"/>
    <w:rsid w:val="001B5646"/>
    <w:rsid w:val="001D4CA7"/>
    <w:rsid w:val="002536B2"/>
    <w:rsid w:val="002872FE"/>
    <w:rsid w:val="002A4C52"/>
    <w:rsid w:val="002C37AF"/>
    <w:rsid w:val="002C48D5"/>
    <w:rsid w:val="00384659"/>
    <w:rsid w:val="003B4952"/>
    <w:rsid w:val="004200D6"/>
    <w:rsid w:val="00535B6A"/>
    <w:rsid w:val="00552B6E"/>
    <w:rsid w:val="005901AF"/>
    <w:rsid w:val="005C41DC"/>
    <w:rsid w:val="005D6A43"/>
    <w:rsid w:val="006270F1"/>
    <w:rsid w:val="00640754"/>
    <w:rsid w:val="006B3D56"/>
    <w:rsid w:val="006B5549"/>
    <w:rsid w:val="006D451A"/>
    <w:rsid w:val="00764532"/>
    <w:rsid w:val="0077331A"/>
    <w:rsid w:val="007B7D0A"/>
    <w:rsid w:val="007D0B41"/>
    <w:rsid w:val="00833988"/>
    <w:rsid w:val="0084455D"/>
    <w:rsid w:val="00847411"/>
    <w:rsid w:val="00893DB2"/>
    <w:rsid w:val="008A7B48"/>
    <w:rsid w:val="008B5EFA"/>
    <w:rsid w:val="009D0FA4"/>
    <w:rsid w:val="009F1E09"/>
    <w:rsid w:val="009F7C02"/>
    <w:rsid w:val="00A6036A"/>
    <w:rsid w:val="00A72036"/>
    <w:rsid w:val="00AB0AC4"/>
    <w:rsid w:val="00AB54D2"/>
    <w:rsid w:val="00AB67C8"/>
    <w:rsid w:val="00AC2A94"/>
    <w:rsid w:val="00AE56E4"/>
    <w:rsid w:val="00B05C45"/>
    <w:rsid w:val="00B2433A"/>
    <w:rsid w:val="00B9502F"/>
    <w:rsid w:val="00BB15F0"/>
    <w:rsid w:val="00BC1147"/>
    <w:rsid w:val="00BE5023"/>
    <w:rsid w:val="00BF6F83"/>
    <w:rsid w:val="00C0755E"/>
    <w:rsid w:val="00C359DB"/>
    <w:rsid w:val="00C655B4"/>
    <w:rsid w:val="00C87E0E"/>
    <w:rsid w:val="00CC21E5"/>
    <w:rsid w:val="00CC770F"/>
    <w:rsid w:val="00D15B2E"/>
    <w:rsid w:val="00D421ED"/>
    <w:rsid w:val="00D82729"/>
    <w:rsid w:val="00DB0A53"/>
    <w:rsid w:val="00E009B0"/>
    <w:rsid w:val="00E111B9"/>
    <w:rsid w:val="00E22F41"/>
    <w:rsid w:val="00E567D8"/>
    <w:rsid w:val="00E640AD"/>
    <w:rsid w:val="00E71CCA"/>
    <w:rsid w:val="00E865F5"/>
    <w:rsid w:val="00EC6EBB"/>
    <w:rsid w:val="00F0379E"/>
    <w:rsid w:val="00F1048C"/>
    <w:rsid w:val="00F12576"/>
    <w:rsid w:val="00F9211A"/>
    <w:rsid w:val="00FB5E41"/>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Emphasis" w:uiPriority="20"/>
  </w:latentStyles>
  <w:style w:type="paragraph" w:default="1" w:styleId="Normal">
    <w:name w:val="Normal"/>
    <w:qFormat/>
    <w:rsid w:val="00F9211A"/>
    <w:rPr>
      <w:rFonts w:ascii="Times New Roman" w:eastAsia="Times New Roman" w:hAnsi="Times New Roman" w:cs="Times New Roman"/>
      <w:szCs w:val="20"/>
      <w:lang w:val="en-GB" w:eastAsia="en-US"/>
    </w:rPr>
  </w:style>
  <w:style w:type="paragraph" w:styleId="Heading1">
    <w:name w:val="heading 1"/>
    <w:basedOn w:val="Normal"/>
    <w:next w:val="Normal"/>
    <w:link w:val="Heading1Char"/>
    <w:rsid w:val="006D451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rsid w:val="0083398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qFormat/>
    <w:rsid w:val="00F9211A"/>
    <w:pPr>
      <w:keepNext/>
      <w:jc w:val="center"/>
      <w:outlineLvl w:val="5"/>
    </w:pPr>
    <w:rPr>
      <w:rFonts w:ascii="Tahoma" w:hAnsi="Tahoma"/>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FootnoteText"/>
    <w:autoRedefine/>
    <w:qFormat/>
    <w:rsid w:val="00E111B9"/>
    <w:rPr>
      <w:sz w:val="18"/>
      <w:szCs w:val="18"/>
    </w:rPr>
  </w:style>
  <w:style w:type="paragraph" w:styleId="FootnoteText">
    <w:name w:val="footnote text"/>
    <w:aliases w:val="Footnote reference,FA Fu,Footnote Text Char Char Char Char Char,Footnote Text Char Char Char Char,Footnote Text Char Char Char,single space,ft,5_G"/>
    <w:basedOn w:val="Normal"/>
    <w:link w:val="FootnoteTextChar"/>
    <w:unhideWhenUsed/>
    <w:rsid w:val="00E111B9"/>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uiPriority w:val="99"/>
    <w:semiHidden/>
    <w:rsid w:val="00E111B9"/>
  </w:style>
  <w:style w:type="character" w:customStyle="1" w:styleId="Heading6Char">
    <w:name w:val="Heading 6 Char"/>
    <w:basedOn w:val="DefaultParagraphFont"/>
    <w:link w:val="Heading6"/>
    <w:rsid w:val="00F9211A"/>
    <w:rPr>
      <w:rFonts w:ascii="Tahoma" w:eastAsia="Times New Roman" w:hAnsi="Tahoma" w:cs="Times New Roman"/>
      <w:b/>
      <w:sz w:val="28"/>
      <w:szCs w:val="20"/>
      <w:lang w:val="en-GB" w:eastAsia="en-US"/>
    </w:rPr>
  </w:style>
  <w:style w:type="character" w:styleId="FootnoteReference">
    <w:name w:val="footnote reference"/>
    <w:aliases w:val="4_G,ftref"/>
    <w:unhideWhenUsed/>
    <w:rsid w:val="00F9211A"/>
    <w:rPr>
      <w:vertAlign w:val="superscript"/>
    </w:rPr>
  </w:style>
  <w:style w:type="paragraph" w:styleId="Footer">
    <w:name w:val="footer"/>
    <w:basedOn w:val="Normal"/>
    <w:link w:val="FooterChar"/>
    <w:rsid w:val="00F9211A"/>
    <w:pPr>
      <w:tabs>
        <w:tab w:val="center" w:pos="4320"/>
        <w:tab w:val="right" w:pos="8640"/>
      </w:tabs>
    </w:pPr>
  </w:style>
  <w:style w:type="character" w:customStyle="1" w:styleId="FooterChar">
    <w:name w:val="Footer Char"/>
    <w:basedOn w:val="DefaultParagraphFont"/>
    <w:link w:val="Footer"/>
    <w:rsid w:val="00F9211A"/>
    <w:rPr>
      <w:rFonts w:ascii="Times New Roman" w:eastAsia="Times New Roman" w:hAnsi="Times New Roman" w:cs="Times New Roman"/>
      <w:szCs w:val="20"/>
      <w:lang w:val="en-GB" w:eastAsia="en-US"/>
    </w:rPr>
  </w:style>
  <w:style w:type="character" w:styleId="PageNumber">
    <w:name w:val="page number"/>
    <w:basedOn w:val="DefaultParagraphFont"/>
    <w:rsid w:val="00F9211A"/>
  </w:style>
  <w:style w:type="paragraph" w:styleId="Header">
    <w:name w:val="header"/>
    <w:basedOn w:val="Normal"/>
    <w:link w:val="HeaderChar"/>
    <w:rsid w:val="00F9211A"/>
    <w:pPr>
      <w:tabs>
        <w:tab w:val="center" w:pos="4320"/>
        <w:tab w:val="right" w:pos="8640"/>
      </w:tabs>
    </w:pPr>
  </w:style>
  <w:style w:type="character" w:customStyle="1" w:styleId="HeaderChar">
    <w:name w:val="Header Char"/>
    <w:basedOn w:val="DefaultParagraphFont"/>
    <w:link w:val="Header"/>
    <w:rsid w:val="00F9211A"/>
    <w:rPr>
      <w:rFonts w:ascii="Times New Roman" w:eastAsia="Times New Roman" w:hAnsi="Times New Roman" w:cs="Times New Roman"/>
      <w:szCs w:val="20"/>
      <w:lang w:val="en-GB" w:eastAsia="en-US"/>
    </w:rPr>
  </w:style>
  <w:style w:type="character" w:styleId="Hyperlink">
    <w:name w:val="Hyperlink"/>
    <w:rsid w:val="00F9211A"/>
    <w:rPr>
      <w:color w:val="0000FF"/>
      <w:u w:val="single"/>
    </w:rPr>
  </w:style>
  <w:style w:type="paragraph" w:styleId="BalloonText">
    <w:name w:val="Balloon Text"/>
    <w:basedOn w:val="Normal"/>
    <w:link w:val="BalloonTextChar"/>
    <w:uiPriority w:val="99"/>
    <w:semiHidden/>
    <w:unhideWhenUsed/>
    <w:rsid w:val="002536B2"/>
    <w:rPr>
      <w:sz w:val="18"/>
      <w:szCs w:val="18"/>
    </w:rPr>
  </w:style>
  <w:style w:type="character" w:customStyle="1" w:styleId="BalloonTextChar">
    <w:name w:val="Balloon Text Char"/>
    <w:basedOn w:val="DefaultParagraphFont"/>
    <w:link w:val="BalloonText"/>
    <w:uiPriority w:val="99"/>
    <w:semiHidden/>
    <w:rsid w:val="002536B2"/>
    <w:rPr>
      <w:rFonts w:ascii="Times New Roman" w:eastAsia="Times New Roman" w:hAnsi="Times New Roman" w:cs="Times New Roman"/>
      <w:sz w:val="18"/>
      <w:szCs w:val="18"/>
      <w:lang w:val="en-GB" w:eastAsia="en-US"/>
    </w:rPr>
  </w:style>
  <w:style w:type="paragraph" w:styleId="NormalWeb">
    <w:name w:val="Normal (Web)"/>
    <w:basedOn w:val="Normal"/>
    <w:uiPriority w:val="99"/>
    <w:semiHidden/>
    <w:unhideWhenUsed/>
    <w:rsid w:val="00B9502F"/>
    <w:rPr>
      <w:szCs w:val="24"/>
    </w:rPr>
  </w:style>
  <w:style w:type="paragraph" w:customStyle="1" w:styleId="Default">
    <w:name w:val="Default"/>
    <w:rsid w:val="00D421ED"/>
    <w:pPr>
      <w:widowControl w:val="0"/>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rsid w:val="006D451A"/>
    <w:rPr>
      <w:rFonts w:asciiTheme="majorHAnsi" w:eastAsiaTheme="majorEastAsia" w:hAnsiTheme="majorHAnsi" w:cstheme="majorBidi"/>
      <w:b/>
      <w:bCs/>
      <w:color w:val="2D4F8E" w:themeColor="accent1" w:themeShade="B5"/>
      <w:sz w:val="32"/>
      <w:szCs w:val="32"/>
      <w:lang w:val="en-GB" w:eastAsia="en-US"/>
    </w:rPr>
  </w:style>
  <w:style w:type="character" w:customStyle="1" w:styleId="apple-converted-space">
    <w:name w:val="apple-converted-space"/>
    <w:basedOn w:val="DefaultParagraphFont"/>
    <w:rsid w:val="005901AF"/>
  </w:style>
  <w:style w:type="character" w:styleId="Emphasis">
    <w:name w:val="Emphasis"/>
    <w:basedOn w:val="DefaultParagraphFont"/>
    <w:uiPriority w:val="20"/>
    <w:rsid w:val="005901AF"/>
    <w:rPr>
      <w:i/>
    </w:rPr>
  </w:style>
  <w:style w:type="character" w:customStyle="1" w:styleId="Heading2Char">
    <w:name w:val="Heading 2 Char"/>
    <w:basedOn w:val="DefaultParagraphFont"/>
    <w:link w:val="Heading2"/>
    <w:rsid w:val="00833988"/>
    <w:rPr>
      <w:rFonts w:asciiTheme="majorHAnsi" w:eastAsiaTheme="majorEastAsia" w:hAnsiTheme="majorHAnsi" w:cstheme="majorBidi"/>
      <w:b/>
      <w:bCs/>
      <w:color w:val="4472C4" w:themeColor="accent1"/>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9139504">
      <w:bodyDiv w:val="1"/>
      <w:marLeft w:val="0"/>
      <w:marRight w:val="0"/>
      <w:marTop w:val="0"/>
      <w:marBottom w:val="0"/>
      <w:divBdr>
        <w:top w:val="none" w:sz="0" w:space="0" w:color="auto"/>
        <w:left w:val="none" w:sz="0" w:space="0" w:color="auto"/>
        <w:bottom w:val="none" w:sz="0" w:space="0" w:color="auto"/>
        <w:right w:val="none" w:sz="0" w:space="0" w:color="auto"/>
      </w:divBdr>
    </w:div>
    <w:div w:id="450825348">
      <w:bodyDiv w:val="1"/>
      <w:marLeft w:val="0"/>
      <w:marRight w:val="0"/>
      <w:marTop w:val="0"/>
      <w:marBottom w:val="0"/>
      <w:divBdr>
        <w:top w:val="none" w:sz="0" w:space="0" w:color="auto"/>
        <w:left w:val="none" w:sz="0" w:space="0" w:color="auto"/>
        <w:bottom w:val="none" w:sz="0" w:space="0" w:color="auto"/>
        <w:right w:val="none" w:sz="0" w:space="0" w:color="auto"/>
      </w:divBdr>
    </w:div>
    <w:div w:id="950015150">
      <w:bodyDiv w:val="1"/>
      <w:marLeft w:val="0"/>
      <w:marRight w:val="0"/>
      <w:marTop w:val="0"/>
      <w:marBottom w:val="0"/>
      <w:divBdr>
        <w:top w:val="none" w:sz="0" w:space="0" w:color="auto"/>
        <w:left w:val="none" w:sz="0" w:space="0" w:color="auto"/>
        <w:bottom w:val="none" w:sz="0" w:space="0" w:color="auto"/>
        <w:right w:val="none" w:sz="0" w:space="0" w:color="auto"/>
      </w:divBdr>
    </w:div>
    <w:div w:id="1257710573">
      <w:bodyDiv w:val="1"/>
      <w:marLeft w:val="0"/>
      <w:marRight w:val="0"/>
      <w:marTop w:val="0"/>
      <w:marBottom w:val="0"/>
      <w:divBdr>
        <w:top w:val="none" w:sz="0" w:space="0" w:color="auto"/>
        <w:left w:val="none" w:sz="0" w:space="0" w:color="auto"/>
        <w:bottom w:val="none" w:sz="0" w:space="0" w:color="auto"/>
        <w:right w:val="none" w:sz="0" w:space="0" w:color="auto"/>
      </w:divBdr>
    </w:div>
    <w:div w:id="1642924536">
      <w:bodyDiv w:val="1"/>
      <w:marLeft w:val="0"/>
      <w:marRight w:val="0"/>
      <w:marTop w:val="0"/>
      <w:marBottom w:val="0"/>
      <w:divBdr>
        <w:top w:val="none" w:sz="0" w:space="0" w:color="auto"/>
        <w:left w:val="none" w:sz="0" w:space="0" w:color="auto"/>
        <w:bottom w:val="none" w:sz="0" w:space="0" w:color="auto"/>
        <w:right w:val="none" w:sz="0" w:space="0" w:color="auto"/>
      </w:divBdr>
    </w:div>
    <w:div w:id="1910576553">
      <w:bodyDiv w:val="1"/>
      <w:marLeft w:val="0"/>
      <w:marRight w:val="0"/>
      <w:marTop w:val="0"/>
      <w:marBottom w:val="0"/>
      <w:divBdr>
        <w:top w:val="none" w:sz="0" w:space="0" w:color="auto"/>
        <w:left w:val="none" w:sz="0" w:space="0" w:color="auto"/>
        <w:bottom w:val="none" w:sz="0" w:space="0" w:color="auto"/>
        <w:right w:val="none" w:sz="0" w:space="0" w:color="auto"/>
      </w:divBdr>
      <w:divsChild>
        <w:div w:id="70255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nfo@law-democracy.org" TargetMode="External"/><Relationship Id="rId9" Type="http://schemas.openxmlformats.org/officeDocument/2006/relationships/hyperlink" Target="http://www.law-democracy.org"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law-democracy.org/live/wp-content/uploads/2016/05/Canada.OGP-AP3-Ideas.May16.pdf" TargetMode="External"/><Relationship Id="rId4" Type="http://schemas.openxmlformats.org/officeDocument/2006/relationships/hyperlink" Target="http://ogp.civicomment.org/canada-midterm-report-2016-2018-public-comment" TargetMode="External"/><Relationship Id="rId5" Type="http://schemas.openxmlformats.org/officeDocument/2006/relationships/hyperlink" Target="http://www.rti-rating.org/country-data/" TargetMode="External"/><Relationship Id="rId6" Type="http://schemas.openxmlformats.org/officeDocument/2006/relationships/hyperlink" Target="http://www.oic-ci.gc.ca/eng/rapport-de-modernisation-modernization-report.aspx" TargetMode="External"/><Relationship Id="rId7" Type="http://schemas.openxmlformats.org/officeDocument/2006/relationships/hyperlink" Target="http://www.ourcommons.ca/DocumentViewer/en/42-1/ETHI/report-2" TargetMode="External"/><Relationship Id="rId8" Type="http://schemas.openxmlformats.org/officeDocument/2006/relationships/hyperlink" Target="http://www.tbs-sct.gc.ca/pol/doc-eng.aspx?id=18310" TargetMode="External"/><Relationship Id="rId9" Type="http://schemas.openxmlformats.org/officeDocument/2006/relationships/hyperlink" Target="https://www.law-democracy.org/live/wp-content/uploads/2017/04/17.04.04.ATIA-delay.let1_.pdf" TargetMode="External"/><Relationship Id="rId10" Type="http://schemas.openxmlformats.org/officeDocument/2006/relationships/hyperlink" Target="http://www.parl.ca/DocumentViewer/en/42-1/bill/C-58/first-reading" TargetMode="External"/><Relationship Id="rId11" Type="http://schemas.openxmlformats.org/officeDocument/2006/relationships/hyperlink" Target="https://www.law-democracy.org/live/letter-to-the-president-of-the-treasury-board-demanding-access-to-information-reform/" TargetMode="External"/><Relationship Id="rId1" Type="http://schemas.openxmlformats.org/officeDocument/2006/relationships/hyperlink" Target="http://www.law-democracy.org/live/wp-content/uploads/2013/09/Canada.Y1-assessment.pdf" TargetMode="External"/><Relationship Id="rId2" Type="http://schemas.openxmlformats.org/officeDocument/2006/relationships/hyperlink" Target="http://www.law-democracy.org/live/wp-content/uploads/2014/09/Canada.OGP_.Note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1235</Words>
  <Characters>7044</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K</dc:creator>
  <cp:keywords/>
  <dc:description/>
  <cp:lastModifiedBy>Toby</cp:lastModifiedBy>
  <cp:revision>26</cp:revision>
  <dcterms:created xsi:type="dcterms:W3CDTF">2018-03-21T09:24:00Z</dcterms:created>
  <dcterms:modified xsi:type="dcterms:W3CDTF">2018-03-24T20:02:00Z</dcterms:modified>
</cp:coreProperties>
</file>